
<file path=[Content_Types].xml><?xml version="1.0" encoding="utf-8"?>
<Types xmlns="http://schemas.openxmlformats.org/package/2006/content-types">
  <Default ContentType="application/vnd.openxmlformats-officedocument.oleObject" Extension="bin"/>
  <Default ContentType="image/x-wmf" Extension="wmf"/>
  <Default ContentType="image/png" Extension="png"/>
  <Default ContentType="application/vnd.openxmlformats-package.relationships+xml" Extension="rels"/>
  <Default ContentType="application/xml" Extension="xml"/>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708"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4038600" cy="819150"/>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038600" cy="8191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708"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708"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de julio de 2019</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708" w:right="0" w:firstLine="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rPr>
      </w:pPr>
      <w:r w:rsidDel="00000000" w:rsidR="00000000" w:rsidRPr="00000000">
        <w:rPr>
          <w:rFonts w:ascii="Calibri" w:cs="Calibri" w:eastAsia="Calibri" w:hAnsi="Calibri"/>
          <w:b w:val="1"/>
          <w:sz w:val="32"/>
          <w:szCs w:val="32"/>
          <w:rtl w:val="0"/>
        </w:rPr>
        <w:t xml:space="preserve">¿</w:t>
      </w:r>
      <w:r w:rsidDel="00000000" w:rsidR="00000000" w:rsidRPr="00000000">
        <w:rPr>
          <w:rFonts w:ascii="Calibri" w:cs="Calibri" w:eastAsia="Calibri" w:hAnsi="Calibri"/>
          <w:b w:val="1"/>
          <w:sz w:val="32"/>
          <w:szCs w:val="32"/>
          <w:u w:val="single"/>
          <w:rtl w:val="0"/>
        </w:rPr>
        <w:t xml:space="preserve">CUÁNTO DEBIERA SER NUESTRO SALARIO COMO MÍNIMO</w:t>
      </w:r>
      <w:r w:rsidDel="00000000" w:rsidR="00000000" w:rsidRPr="00000000">
        <w:rPr>
          <w:rFonts w:ascii="Calibri" w:cs="Calibri" w:eastAsia="Calibri" w:hAnsi="Calibri"/>
          <w:b w:val="1"/>
          <w:sz w:val="32"/>
          <w:szCs w:val="32"/>
          <w:rtl w:val="0"/>
        </w:rPr>
        <w:t xml:space="preserve">?</w:t>
      </w:r>
      <w:r w:rsidDel="00000000" w:rsidR="00000000" w:rsidRPr="00000000">
        <w:rPr>
          <w:rtl w:val="0"/>
        </w:rPr>
      </w:r>
    </w:p>
    <w:p w:rsidR="00000000" w:rsidDel="00000000" w:rsidP="00000000" w:rsidRDefault="00000000" w:rsidRPr="00000000" w14:paraId="00000007">
      <w:pPr>
        <w:jc w:val="center"/>
        <w:rPr>
          <w:sz w:val="20"/>
          <w:szCs w:val="20"/>
        </w:rPr>
      </w:pPr>
      <w:r w:rsidDel="00000000" w:rsidR="00000000" w:rsidRPr="00000000">
        <w:rPr>
          <w:sz w:val="20"/>
          <w:szCs w:val="20"/>
          <w:rtl w:val="0"/>
        </w:rPr>
        <w:t xml:space="preserve">Datos actualizados al mayo de 2019</w:t>
      </w:r>
    </w:p>
    <w:p w:rsidR="00000000" w:rsidDel="00000000" w:rsidP="00000000" w:rsidRDefault="00000000" w:rsidRPr="00000000" w14:paraId="00000008">
      <w:pPr>
        <w:jc w:val="center"/>
        <w:rPr>
          <w:b w:val="1"/>
          <w:sz w:val="20"/>
          <w:szCs w:val="20"/>
          <w:u w:val="single"/>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000000"/>
          <w:sz w:val="20"/>
          <w:szCs w:val="20"/>
        </w:rPr>
      </w:pPr>
      <w:r w:rsidDel="00000000" w:rsidR="00000000" w:rsidRPr="00000000">
        <w:rPr>
          <w:b w:val="1"/>
          <w:u w:val="single"/>
          <w:rtl w:val="0"/>
        </w:rPr>
        <w:t xml:space="preserve">Síntesis</w:t>
      </w:r>
      <w:r w:rsidDel="00000000" w:rsidR="00000000" w:rsidRPr="00000000">
        <w:rPr>
          <w:rtl w:val="0"/>
        </w:rPr>
      </w:r>
    </w:p>
    <w:p w:rsidR="00000000" w:rsidDel="00000000" w:rsidP="00000000" w:rsidRDefault="00000000" w:rsidRPr="00000000" w14:paraId="0000000A">
      <w:pPr>
        <w:shd w:fill="ffffff" w:val="clear"/>
        <w:ind w:left="-360" w:right="-316" w:firstLine="1068"/>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B">
      <w:pPr>
        <w:shd w:fill="ffffff" w:val="clear"/>
        <w:ind w:left="-360" w:right="-316" w:firstLine="1068"/>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La inflación es un problema que el gobierno nacional menospreció (tanto en campaña como durante la gestión), aún no pudo controlar y que persiste y persistirá en el 2019. Según las estimaciones de la mayoría de los analistas, la inflación este año rondará, al menos, el 40%. Para peor, las proyecciones para lo que queda del año, ni aún las más optimistas, dan alguna esperanza de mejora en la situación. </w:t>
      </w:r>
    </w:p>
    <w:p w:rsidR="00000000" w:rsidDel="00000000" w:rsidP="00000000" w:rsidRDefault="00000000" w:rsidRPr="00000000" w14:paraId="0000000C">
      <w:pPr>
        <w:shd w:fill="ffffff" w:val="clear"/>
        <w:ind w:left="-360" w:right="-316" w:firstLine="1068"/>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D">
      <w:pPr>
        <w:shd w:fill="ffffff" w:val="clear"/>
        <w:ind w:left="-360" w:right="-316" w:firstLine="1068"/>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 este marco el gobierno tomo una medidas meramente electoralistas, como “</w:t>
      </w:r>
      <w:r w:rsidDel="00000000" w:rsidR="00000000" w:rsidRPr="00000000">
        <w:rPr>
          <w:rFonts w:ascii="Calibri" w:cs="Calibri" w:eastAsia="Calibri" w:hAnsi="Calibri"/>
          <w:b w:val="1"/>
          <w:color w:val="000000"/>
          <w:sz w:val="22"/>
          <w:szCs w:val="22"/>
          <w:rtl w:val="0"/>
        </w:rPr>
        <w:t xml:space="preserve">Precios esenciales</w:t>
      </w:r>
      <w:r w:rsidDel="00000000" w:rsidR="00000000" w:rsidRPr="00000000">
        <w:rPr>
          <w:rFonts w:ascii="Calibri" w:cs="Calibri" w:eastAsia="Calibri" w:hAnsi="Calibri"/>
          <w:color w:val="000000"/>
          <w:sz w:val="22"/>
          <w:szCs w:val="22"/>
          <w:rtl w:val="0"/>
        </w:rPr>
        <w:t xml:space="preserve">” (con el cinismo acostumbrado, nos informaron que tendría una vigencia de seis meses, justo hasta las elecciones generales), y ahora sumo incentivos al consumo con medidas que antes criticaba duramente, como el “Ahora 12” o el subsidio a los automóviles (increíblemente, incluyendo a los importados) para tratar de reactivar el consumo y generar un mínimo “veranito” que dure lo que dura el proceso electoral, mientras prepara que recortes a los derechos y remuneraciones de asalariados y jubilados.</w:t>
      </w:r>
    </w:p>
    <w:p w:rsidR="00000000" w:rsidDel="00000000" w:rsidP="00000000" w:rsidRDefault="00000000" w:rsidRPr="00000000" w14:paraId="0000000E">
      <w:pPr>
        <w:shd w:fill="ffffff" w:val="clear"/>
        <w:ind w:left="-360" w:right="-316" w:firstLine="1068"/>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F">
      <w:pPr>
        <w:shd w:fill="ffffff" w:val="clear"/>
        <w:ind w:left="-360" w:right="-316" w:firstLine="106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Ante esta realidad, realizamos un ejercicio de estimación que nos permita acercar a lo que serían los valores requeridos en la actualidad para cubrir las necesidades básicas de lxs trabajadorxs y su núcleo familiar, para llevar adelante una vida digna:</w:t>
      </w:r>
    </w:p>
    <w:p w:rsidR="00000000" w:rsidDel="00000000" w:rsidP="00000000" w:rsidRDefault="00000000" w:rsidRPr="00000000" w14:paraId="00000010">
      <w:pPr>
        <w:shd w:fill="ffffff" w:val="clear"/>
        <w:ind w:left="-360" w:right="-316" w:firstLine="1068"/>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pBdr>
          <w:top w:color="000000" w:space="6" w:sz="4" w:val="single"/>
          <w:left w:color="000000" w:space="4" w:sz="4" w:val="single"/>
          <w:bottom w:color="000000" w:space="1" w:sz="4" w:val="single"/>
          <w:right w:color="000000" w:space="10" w:sz="4" w:val="single"/>
        </w:pBdr>
        <w:ind w:left="142"/>
        <w:jc w:val="both"/>
        <w:rPr>
          <w:rFonts w:ascii="Calibri" w:cs="Calibri" w:eastAsia="Calibri" w:hAnsi="Calibri"/>
          <w:b w:val="1"/>
          <w:i w:val="1"/>
          <w:sz w:val="22"/>
          <w:szCs w:val="22"/>
        </w:rPr>
      </w:pPr>
      <w:r w:rsidDel="00000000" w:rsidR="00000000" w:rsidRPr="00000000">
        <w:rPr>
          <w:rFonts w:ascii="Calibri" w:cs="Calibri" w:eastAsia="Calibri" w:hAnsi="Calibri"/>
          <w:i w:val="1"/>
          <w:sz w:val="22"/>
          <w:szCs w:val="22"/>
          <w:rtl w:val="0"/>
        </w:rPr>
        <w:t xml:space="preserve">Un Hogar constituido por una pareja de 35 años con dos hijos (de 6 y 9 años) necesitó, en mayo de 2019, </w:t>
      </w:r>
      <w:r w:rsidDel="00000000" w:rsidR="00000000" w:rsidRPr="00000000">
        <w:rPr>
          <w:rFonts w:ascii="Calibri" w:cs="Calibri" w:eastAsia="Calibri" w:hAnsi="Calibri"/>
          <w:b w:val="1"/>
          <w:i w:val="1"/>
          <w:sz w:val="22"/>
          <w:szCs w:val="22"/>
          <w:rtl w:val="0"/>
        </w:rPr>
        <w:t xml:space="preserve">$45.956 para satisfacer sus necesidades. Este valor se compone de $14.709 necesarios para adquirir una Canasta alimentaria mínima y de $ 31.247 para acceder a otros bienes y servicios básicos.</w:t>
      </w:r>
    </w:p>
    <w:p w:rsidR="00000000" w:rsidDel="00000000" w:rsidP="00000000" w:rsidRDefault="00000000" w:rsidRPr="00000000" w14:paraId="00000012">
      <w:pPr>
        <w:shd w:fill="ffffff" w:val="clear"/>
        <w:ind w:left="-360" w:right="-316" w:firstLine="1068"/>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3">
      <w:pPr>
        <w:ind w:left="-426" w:right="-285" w:firstLine="708"/>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Por último, podemos ver claramente, durante esta gestión de gobierno, que los trabajadorxs estatales fuimos y somos lxs grandes perdedorxs del programa económico de Cambiemos. </w:t>
      </w:r>
      <w:r w:rsidDel="00000000" w:rsidR="00000000" w:rsidRPr="00000000">
        <w:rPr>
          <w:rFonts w:ascii="Calibri" w:cs="Calibri" w:eastAsia="Calibri" w:hAnsi="Calibri"/>
          <w:b w:val="1"/>
          <w:color w:val="000000"/>
          <w:sz w:val="22"/>
          <w:szCs w:val="22"/>
          <w:rtl w:val="0"/>
        </w:rPr>
        <w:t xml:space="preserve">En 2016 y 2017 perdimos el equivalente a casi dos salarios</w:t>
      </w:r>
      <w:r w:rsidDel="00000000" w:rsidR="00000000" w:rsidRPr="00000000">
        <w:rPr>
          <w:rFonts w:ascii="Calibri" w:cs="Calibri" w:eastAsia="Calibri" w:hAnsi="Calibri"/>
          <w:color w:val="000000"/>
          <w:sz w:val="22"/>
          <w:szCs w:val="22"/>
          <w:rtl w:val="0"/>
        </w:rPr>
        <w:t xml:space="preserve"> (considerando el poder adquisitivo del salario actual), en </w:t>
      </w:r>
      <w:r w:rsidDel="00000000" w:rsidR="00000000" w:rsidRPr="00000000">
        <w:rPr>
          <w:rFonts w:ascii="Calibri" w:cs="Calibri" w:eastAsia="Calibri" w:hAnsi="Calibri"/>
          <w:b w:val="1"/>
          <w:color w:val="000000"/>
          <w:sz w:val="22"/>
          <w:szCs w:val="22"/>
          <w:rtl w:val="0"/>
        </w:rPr>
        <w:t xml:space="preserve">2018 perdimos el equivalente a dos salarios y medio</w:t>
      </w:r>
      <w:r w:rsidDel="00000000" w:rsidR="00000000" w:rsidRPr="00000000">
        <w:rPr>
          <w:rFonts w:ascii="Calibri" w:cs="Calibri" w:eastAsia="Calibri" w:hAnsi="Calibri"/>
          <w:color w:val="000000"/>
          <w:sz w:val="22"/>
          <w:szCs w:val="22"/>
          <w:rtl w:val="0"/>
        </w:rPr>
        <w:t xml:space="preserve">, y </w:t>
      </w:r>
      <w:r w:rsidDel="00000000" w:rsidR="00000000" w:rsidRPr="00000000">
        <w:rPr>
          <w:rFonts w:ascii="Calibri" w:cs="Calibri" w:eastAsia="Calibri" w:hAnsi="Calibri"/>
          <w:b w:val="1"/>
          <w:color w:val="000000"/>
          <w:sz w:val="22"/>
          <w:szCs w:val="22"/>
          <w:rtl w:val="0"/>
        </w:rPr>
        <w:t xml:space="preserve">en solo cinco meses de 2019 ya perdimos más de dos salarios.</w:t>
      </w:r>
      <w:r w:rsidDel="00000000" w:rsidR="00000000" w:rsidRPr="00000000">
        <w:rPr>
          <w:rFonts w:ascii="Calibri" w:cs="Calibri" w:eastAsia="Calibri" w:hAnsi="Calibri"/>
          <w:color w:val="000000"/>
          <w:sz w:val="22"/>
          <w:szCs w:val="22"/>
          <w:rtl w:val="0"/>
        </w:rPr>
        <w:t xml:space="preserve"> Si no se revierte esta tendencia, para fines de este año habremos dejado de percibir, en comparación con los ya magros salarios de noviembre de 2015, el equivalente de cuatro o cinco meses de salario actual. </w:t>
      </w:r>
    </w:p>
    <w:p w:rsidR="00000000" w:rsidDel="00000000" w:rsidP="00000000" w:rsidRDefault="00000000" w:rsidRPr="00000000" w14:paraId="00000014">
      <w:pPr>
        <w:shd w:fill="ffffff" w:val="clear"/>
        <w:ind w:left="-360" w:right="-316" w:firstLine="1068"/>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5">
      <w:pPr>
        <w:shd w:fill="ffffff" w:val="clear"/>
        <w:ind w:left="-360" w:right="-316" w:firstLine="106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Las canastas utilizadas para este ejercicio son las llamadas “Canastas de Consumos Mínimos” y surgieron como propuesta metodológica innovadora en el INDEC, aunque todavía no se han aplicado en las mediciones oficiales. </w:t>
      </w:r>
      <w:r w:rsidDel="00000000" w:rsidR="00000000" w:rsidRPr="00000000">
        <w:rPr>
          <w:rFonts w:ascii="Calibri" w:cs="Calibri" w:eastAsia="Calibri" w:hAnsi="Calibri"/>
          <w:b w:val="1"/>
          <w:sz w:val="22"/>
          <w:szCs w:val="22"/>
          <w:rtl w:val="0"/>
        </w:rPr>
        <w:t xml:space="preserve">No son las habitualmente utilizadas para la medición de la pobreza, pero no por ello ambas canastas deben verse como contrapuestas, dado que se trata de metodologías diferentes pero compatibles entre sí</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6">
      <w:pPr>
        <w:shd w:fill="ffffff" w:val="clear"/>
        <w:tabs>
          <w:tab w:val="left" w:pos="7740"/>
        </w:tabs>
        <w:ind w:left="-360" w:right="-316" w:firstLine="106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017">
      <w:pPr>
        <w:shd w:fill="ffffff" w:val="clear"/>
        <w:ind w:left="-360" w:right="-316" w:firstLine="1068"/>
        <w:jc w:val="both"/>
        <w:rPr>
          <w:rFonts w:ascii="Calibri" w:cs="Calibri" w:eastAsia="Calibri" w:hAnsi="Calibri"/>
          <w:b w:val="1"/>
          <w:sz w:val="22"/>
          <w:szCs w:val="22"/>
          <w:u w:val="single"/>
        </w:rPr>
      </w:pPr>
      <w:r w:rsidDel="00000000" w:rsidR="00000000" w:rsidRPr="00000000">
        <w:rPr>
          <w:rFonts w:ascii="Calibri" w:cs="Calibri" w:eastAsia="Calibri" w:hAnsi="Calibri"/>
          <w:sz w:val="22"/>
          <w:szCs w:val="22"/>
          <w:rtl w:val="0"/>
        </w:rPr>
        <w:t xml:space="preserve">Por tanto, </w:t>
      </w:r>
      <w:r w:rsidDel="00000000" w:rsidR="00000000" w:rsidRPr="00000000">
        <w:rPr>
          <w:rFonts w:ascii="Calibri" w:cs="Calibri" w:eastAsia="Calibri" w:hAnsi="Calibri"/>
          <w:b w:val="1"/>
          <w:sz w:val="22"/>
          <w:szCs w:val="22"/>
          <w:u w:val="single"/>
          <w:rtl w:val="0"/>
        </w:rPr>
        <w:t xml:space="preserve">ningún trabajador debería ganar -de bolsillo- menos que el valor calculado en este ejercicio.</w:t>
      </w:r>
    </w:p>
    <w:p w:rsidR="00000000" w:rsidDel="00000000" w:rsidP="00000000" w:rsidRDefault="00000000" w:rsidRPr="00000000" w14:paraId="00000018">
      <w:pPr>
        <w:shd w:fill="ffffff" w:val="clear"/>
        <w:ind w:left="-360" w:right="-316" w:firstLine="1068"/>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Desarrollo del ejercicio</w:t>
      </w:r>
    </w:p>
    <w:p w:rsidR="00000000" w:rsidDel="00000000" w:rsidP="00000000" w:rsidRDefault="00000000" w:rsidRPr="00000000" w14:paraId="000000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ind w:firstLine="708"/>
        <w:jc w:val="both"/>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El presente ejercicio de estimación se acerca a los valores mínimos requeridos para cubrir las necesidades de los trabajadores y trabajadoras y su núcleo familiar. </w:t>
      </w:r>
    </w:p>
    <w:p w:rsidR="00000000" w:rsidDel="00000000" w:rsidP="00000000" w:rsidRDefault="00000000" w:rsidRPr="00000000" w14:paraId="0000001E">
      <w:pPr>
        <w:ind w:firstLine="708"/>
        <w:jc w:val="both"/>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1F">
      <w:pPr>
        <w:ind w:firstLine="708"/>
        <w:jc w:val="both"/>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En ese contexto, la metodología del ejercicio aquí presentado utiliza los siguientes elementos: </w:t>
      </w:r>
    </w:p>
    <w:p w:rsidR="00000000" w:rsidDel="00000000" w:rsidP="00000000" w:rsidRDefault="00000000" w:rsidRPr="00000000" w14:paraId="00000020">
      <w:pPr>
        <w:ind w:firstLine="708"/>
        <w:jc w:val="both"/>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21">
      <w:pPr>
        <w:numPr>
          <w:ilvl w:val="0"/>
          <w:numId w:val="1"/>
        </w:numPr>
        <w:ind w:left="0" w:firstLine="720"/>
        <w:jc w:val="both"/>
        <w:rPr>
          <w:sz w:val="19"/>
          <w:szCs w:val="19"/>
        </w:rPr>
      </w:pPr>
      <w:r w:rsidDel="00000000" w:rsidR="00000000" w:rsidRPr="00000000">
        <w:rPr>
          <w:rFonts w:ascii="Calibri" w:cs="Calibri" w:eastAsia="Calibri" w:hAnsi="Calibri"/>
          <w:sz w:val="19"/>
          <w:szCs w:val="19"/>
          <w:rtl w:val="0"/>
        </w:rPr>
        <w:t xml:space="preserve">Los desarrollos metodológicos sobre canastas del INDEC previas a la intervención, las Encuestas de Gasto de los Hogares, el Índice de Precios al Consumidor (IPC) y las Paridades de Poder de Compra del Consumidor(PPCC) realizados también con anterioridad a dicha intervención. </w:t>
      </w:r>
    </w:p>
    <w:p w:rsidR="00000000" w:rsidDel="00000000" w:rsidP="00000000" w:rsidRDefault="00000000" w:rsidRPr="00000000" w14:paraId="00000022">
      <w:pPr>
        <w:numPr>
          <w:ilvl w:val="0"/>
          <w:numId w:val="1"/>
        </w:numPr>
        <w:ind w:left="0" w:firstLine="720"/>
        <w:jc w:val="both"/>
        <w:rPr>
          <w:sz w:val="19"/>
          <w:szCs w:val="19"/>
        </w:rPr>
      </w:pPr>
      <w:r w:rsidDel="00000000" w:rsidR="00000000" w:rsidRPr="00000000">
        <w:rPr>
          <w:rFonts w:ascii="Calibri" w:cs="Calibri" w:eastAsia="Calibri" w:hAnsi="Calibri"/>
          <w:sz w:val="19"/>
          <w:szCs w:val="19"/>
          <w:rtl w:val="0"/>
        </w:rPr>
        <w:t xml:space="preserve">La estructura de la Canasta relevada en el 2008 por la Dirección de Estadística de la Ciudad y la metodología de actualización de la composición de la canasta utilizada y probada por ese equipo técnico, que replicó y desarrolló los avances que en INDEC se habían iniciado. </w:t>
      </w:r>
    </w:p>
    <w:p w:rsidR="00000000" w:rsidDel="00000000" w:rsidP="00000000" w:rsidRDefault="00000000" w:rsidRPr="00000000" w14:paraId="00000023">
      <w:pPr>
        <w:numPr>
          <w:ilvl w:val="0"/>
          <w:numId w:val="1"/>
        </w:numPr>
        <w:ind w:left="0" w:firstLine="720"/>
        <w:jc w:val="both"/>
        <w:rPr>
          <w:sz w:val="19"/>
          <w:szCs w:val="19"/>
        </w:rPr>
      </w:pPr>
      <w:r w:rsidDel="00000000" w:rsidR="00000000" w:rsidRPr="00000000">
        <w:rPr>
          <w:rFonts w:ascii="Calibri" w:cs="Calibri" w:eastAsia="Calibri" w:hAnsi="Calibri"/>
          <w:sz w:val="19"/>
          <w:szCs w:val="19"/>
          <w:rtl w:val="0"/>
        </w:rPr>
        <w:t xml:space="preserve">Los datos del IPC actual en cuyo proceso trabajan nuestros compañeros del área, y las metodologías de determinación de la Pobreza e Indigencia aplicadas hasta la irrupción de la intervención en el INDEC y que ahora volvieron a ser utilizadas. </w:t>
      </w:r>
    </w:p>
    <w:p w:rsidR="00000000" w:rsidDel="00000000" w:rsidP="00000000" w:rsidRDefault="00000000" w:rsidRPr="00000000" w14:paraId="00000024">
      <w:pPr>
        <w:jc w:val="both"/>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El ejercicio se realizó con el siguiente método:</w:t>
      </w:r>
    </w:p>
    <w:p w:rsidR="00000000" w:rsidDel="00000000" w:rsidP="00000000" w:rsidRDefault="00000000" w:rsidRPr="00000000" w14:paraId="00000026">
      <w:pPr>
        <w:jc w:val="both"/>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27">
      <w:pPr>
        <w:ind w:firstLine="708"/>
        <w:jc w:val="both"/>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a) Se considera una CANASTA ALIMENTARIA MÍNIMA, una CANASTA DE OTROS BIENES Y SERVICIOS, y una CANASTA TOTAL MÍNIMA actualizadas en cuanto a qué productos incluyen</w:t>
      </w:r>
      <w:r w:rsidDel="00000000" w:rsidR="00000000" w:rsidRPr="00000000">
        <w:rPr>
          <w:rFonts w:ascii="Calibri" w:cs="Calibri" w:eastAsia="Calibri" w:hAnsi="Calibri"/>
          <w:sz w:val="19"/>
          <w:szCs w:val="19"/>
          <w:vertAlign w:val="superscript"/>
        </w:rPr>
        <w:footnoteReference w:customMarkFollows="0" w:id="0"/>
      </w:r>
      <w:r w:rsidDel="00000000" w:rsidR="00000000" w:rsidRPr="00000000">
        <w:rPr>
          <w:rFonts w:ascii="Calibri" w:cs="Calibri" w:eastAsia="Calibri" w:hAnsi="Calibri"/>
          <w:sz w:val="19"/>
          <w:szCs w:val="19"/>
          <w:rtl w:val="0"/>
        </w:rPr>
        <w:t xml:space="preserve">. Se trata de consumos mínimos, no de “óptimos” o “deseables”.</w:t>
      </w:r>
    </w:p>
    <w:p w:rsidR="00000000" w:rsidDel="00000000" w:rsidP="00000000" w:rsidRDefault="00000000" w:rsidRPr="00000000" w14:paraId="00000028">
      <w:pPr>
        <w:ind w:firstLine="708"/>
        <w:jc w:val="both"/>
        <w:rPr>
          <w:rFonts w:ascii="Calibri" w:cs="Calibri" w:eastAsia="Calibri" w:hAnsi="Calibri"/>
          <w:b w:val="1"/>
          <w:color w:val="ff0000"/>
          <w:sz w:val="19"/>
          <w:szCs w:val="19"/>
        </w:rPr>
      </w:pPr>
      <w:r w:rsidDel="00000000" w:rsidR="00000000" w:rsidRPr="00000000">
        <w:rPr>
          <w:rFonts w:ascii="Calibri" w:cs="Calibri" w:eastAsia="Calibri" w:hAnsi="Calibri"/>
          <w:sz w:val="19"/>
          <w:szCs w:val="19"/>
          <w:rtl w:val="0"/>
        </w:rPr>
        <w:t xml:space="preserve">b) Se determina el valor del “adulto equivalente”, unidad de medida que permite calcular las canastas para distintos tipos de hogares, teniendo en cuenta la cantidad de miembros, su edad y sexo.</w:t>
      </w:r>
      <w:r w:rsidDel="00000000" w:rsidR="00000000" w:rsidRPr="00000000">
        <w:rPr>
          <w:rtl w:val="0"/>
        </w:rPr>
      </w:r>
    </w:p>
    <w:p w:rsidR="00000000" w:rsidDel="00000000" w:rsidP="00000000" w:rsidRDefault="00000000" w:rsidRPr="00000000" w14:paraId="00000029">
      <w:pPr>
        <w:ind w:firstLine="708"/>
        <w:jc w:val="both"/>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c) Se amplía a las distintas regiones del país. La metodología tiene en cuenta la diferencia de precios entre las regiones.</w:t>
      </w:r>
    </w:p>
    <w:p w:rsidR="00000000" w:rsidDel="00000000" w:rsidP="00000000" w:rsidRDefault="00000000" w:rsidRPr="00000000" w14:paraId="0000002A">
      <w:pPr>
        <w:ind w:firstLine="708"/>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B">
      <w:pPr>
        <w:ind w:firstLine="708"/>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RESULTADOS REGIONALES</w:t>
      </w:r>
    </w:p>
    <w:p w:rsidR="00000000" w:rsidDel="00000000" w:rsidP="00000000" w:rsidRDefault="00000000" w:rsidRPr="00000000" w14:paraId="0000002C">
      <w:pPr>
        <w:ind w:firstLine="708"/>
        <w:jc w:val="both"/>
        <w:rPr>
          <w:rFonts w:ascii="Calibri" w:cs="Calibri" w:eastAsia="Calibri" w:hAnsi="Calibri"/>
          <w:b w:val="1"/>
          <w:sz w:val="20"/>
          <w:szCs w:val="20"/>
        </w:rPr>
      </w:pPr>
      <w:r w:rsidDel="00000000" w:rsidR="00000000" w:rsidRPr="00000000">
        <w:rPr>
          <w:rtl w:val="0"/>
        </w:rPr>
      </w:r>
    </w:p>
    <w:tbl>
      <w:tblPr>
        <w:tblStyle w:val="Table1"/>
        <w:tblW w:w="10163.0" w:type="dxa"/>
        <w:jc w:val="left"/>
        <w:tblInd w:w="-110.0" w:type="dxa"/>
        <w:tblLayout w:type="fixed"/>
        <w:tblLook w:val="0000"/>
      </w:tblPr>
      <w:tblGrid>
        <w:gridCol w:w="1930"/>
        <w:gridCol w:w="1369"/>
        <w:gridCol w:w="1257"/>
        <w:gridCol w:w="1355"/>
        <w:gridCol w:w="1359"/>
        <w:gridCol w:w="1403"/>
        <w:gridCol w:w="1490"/>
        <w:tblGridChange w:id="0">
          <w:tblGrid>
            <w:gridCol w:w="1930"/>
            <w:gridCol w:w="1369"/>
            <w:gridCol w:w="1257"/>
            <w:gridCol w:w="1355"/>
            <w:gridCol w:w="1359"/>
            <w:gridCol w:w="1403"/>
            <w:gridCol w:w="1490"/>
          </w:tblGrid>
        </w:tblGridChange>
      </w:tblGrid>
      <w:tr>
        <w:trPr>
          <w:trHeight w:val="320" w:hRule="atLeast"/>
        </w:trPr>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2D">
            <w:pPr>
              <w:jc w:val="center"/>
              <w:rPr>
                <w:rFonts w:ascii="Calibri" w:cs="Calibri" w:eastAsia="Calibri" w:hAnsi="Calibri"/>
                <w:b w:val="1"/>
                <w:color w:val="000000"/>
                <w:sz w:val="26"/>
                <w:szCs w:val="26"/>
              </w:rPr>
            </w:pPr>
            <w:r w:rsidDel="00000000" w:rsidR="00000000" w:rsidRPr="00000000">
              <w:rPr>
                <w:rFonts w:ascii="Calibri" w:cs="Calibri" w:eastAsia="Calibri" w:hAnsi="Calibri"/>
                <w:b w:val="1"/>
                <w:color w:val="000000"/>
                <w:sz w:val="26"/>
                <w:szCs w:val="26"/>
                <w:rtl w:val="0"/>
              </w:rPr>
              <w:t xml:space="preserve">CANASTAS REGIONALES</w:t>
            </w:r>
          </w:p>
        </w:tc>
        <w:tc>
          <w:tcPr>
            <w:gridSpan w:val="6"/>
            <w:tcBorders>
              <w:top w:color="000000" w:space="0" w:sz="8" w:val="single"/>
              <w:left w:color="000000" w:space="0" w:sz="0" w:val="nil"/>
              <w:bottom w:color="000000" w:space="0" w:sz="0" w:val="nil"/>
              <w:right w:color="000000" w:space="0" w:sz="8" w:val="single"/>
            </w:tcBorders>
            <w:vAlign w:val="bottom"/>
          </w:tcPr>
          <w:p w:rsidR="00000000" w:rsidDel="00000000" w:rsidP="00000000" w:rsidRDefault="00000000" w:rsidRPr="00000000" w14:paraId="0000002E">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HOGAR: PAREJA CON 2 HIJOS MENORES</w:t>
            </w:r>
          </w:p>
        </w:tc>
      </w:tr>
      <w:tr>
        <w:trPr>
          <w:trHeight w:val="60"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22"/>
                <w:szCs w:val="22"/>
              </w:rPr>
            </w:pPr>
            <w:r w:rsidDel="00000000" w:rsidR="00000000" w:rsidRPr="00000000">
              <w:rPr>
                <w:rtl w:val="0"/>
              </w:rPr>
            </w:r>
          </w:p>
        </w:tc>
        <w:tc>
          <w:tcPr>
            <w:gridSpan w:val="6"/>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035">
            <w:pPr>
              <w:jc w:val="center"/>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 modo de ejemplo. Se puede calcular para cualquier tipo de hogar)</w:t>
            </w:r>
          </w:p>
        </w:tc>
      </w:tr>
      <w:tr>
        <w:trPr>
          <w:trHeight w:val="200"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03C">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GBA</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03D">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CUYO</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03E">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NEA</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03F">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NOA</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040">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PAMPEANA</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041">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PATAGÓNICA</w:t>
            </w:r>
          </w:p>
        </w:tc>
      </w:tr>
      <w:tr>
        <w:trPr>
          <w:trHeight w:val="920" w:hRule="atLeast"/>
        </w:trPr>
        <w:tc>
          <w:tcPr>
            <w:tcBorders>
              <w:top w:color="000000" w:space="0" w:sz="0" w:val="nil"/>
              <w:left w:color="000000" w:space="0" w:sz="8" w:val="single"/>
              <w:bottom w:color="000000" w:space="0" w:sz="0" w:val="nil"/>
              <w:right w:color="000000" w:space="0" w:sz="8" w:val="single"/>
            </w:tcBorders>
            <w:vAlign w:val="center"/>
          </w:tcPr>
          <w:p w:rsidR="00000000" w:rsidDel="00000000" w:rsidP="00000000" w:rsidRDefault="00000000" w:rsidRPr="00000000" w14:paraId="00000042">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CANASTA ALIMENTARIA MÍNIMA</w:t>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14:paraId="00000043">
            <w:pPr>
              <w:jc w:val="center"/>
              <w:rPr>
                <w:color w:val="000000"/>
                <w:sz w:val="22"/>
                <w:szCs w:val="22"/>
              </w:rPr>
            </w:pPr>
            <w:r w:rsidDel="00000000" w:rsidR="00000000" w:rsidRPr="00000000">
              <w:rPr>
                <w:color w:val="000000"/>
                <w:sz w:val="22"/>
                <w:szCs w:val="22"/>
                <w:rtl w:val="0"/>
              </w:rPr>
              <w:t xml:space="preserve">$ 14.709,2</w:t>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14:paraId="00000044">
            <w:pPr>
              <w:jc w:val="center"/>
              <w:rPr>
                <w:color w:val="000000"/>
                <w:sz w:val="22"/>
                <w:szCs w:val="22"/>
              </w:rPr>
            </w:pPr>
            <w:r w:rsidDel="00000000" w:rsidR="00000000" w:rsidRPr="00000000">
              <w:rPr>
                <w:color w:val="000000"/>
                <w:sz w:val="22"/>
                <w:szCs w:val="22"/>
                <w:rtl w:val="0"/>
              </w:rPr>
              <w:t xml:space="preserve">$13.135,3</w:t>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14:paraId="00000045">
            <w:pPr>
              <w:jc w:val="center"/>
              <w:rPr>
                <w:color w:val="000000"/>
                <w:sz w:val="22"/>
                <w:szCs w:val="22"/>
              </w:rPr>
            </w:pPr>
            <w:r w:rsidDel="00000000" w:rsidR="00000000" w:rsidRPr="00000000">
              <w:rPr>
                <w:color w:val="000000"/>
                <w:sz w:val="22"/>
                <w:szCs w:val="22"/>
                <w:rtl w:val="0"/>
              </w:rPr>
              <w:t xml:space="preserve">$ 13.208,9</w:t>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14:paraId="00000046">
            <w:pPr>
              <w:jc w:val="center"/>
              <w:rPr>
                <w:color w:val="000000"/>
                <w:sz w:val="22"/>
                <w:szCs w:val="22"/>
              </w:rPr>
            </w:pPr>
            <w:r w:rsidDel="00000000" w:rsidR="00000000" w:rsidRPr="00000000">
              <w:rPr>
                <w:color w:val="000000"/>
                <w:sz w:val="22"/>
                <w:szCs w:val="22"/>
                <w:rtl w:val="0"/>
              </w:rPr>
              <w:t xml:space="preserve">$ 12.944,1</w:t>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14:paraId="00000047">
            <w:pPr>
              <w:jc w:val="center"/>
              <w:rPr>
                <w:color w:val="000000"/>
                <w:sz w:val="22"/>
                <w:szCs w:val="22"/>
              </w:rPr>
            </w:pPr>
            <w:r w:rsidDel="00000000" w:rsidR="00000000" w:rsidRPr="00000000">
              <w:rPr>
                <w:color w:val="000000"/>
                <w:sz w:val="22"/>
                <w:szCs w:val="22"/>
                <w:rtl w:val="0"/>
              </w:rPr>
              <w:t xml:space="preserve">$ 13.885,5</w:t>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14:paraId="00000048">
            <w:pPr>
              <w:jc w:val="center"/>
              <w:rPr>
                <w:color w:val="000000"/>
                <w:sz w:val="22"/>
                <w:szCs w:val="22"/>
              </w:rPr>
            </w:pPr>
            <w:r w:rsidDel="00000000" w:rsidR="00000000" w:rsidRPr="00000000">
              <w:rPr>
                <w:color w:val="000000"/>
                <w:sz w:val="22"/>
                <w:szCs w:val="22"/>
                <w:rtl w:val="0"/>
              </w:rPr>
              <w:t xml:space="preserve">$ 15.224</w:t>
            </w:r>
          </w:p>
        </w:tc>
      </w:tr>
      <w:tr>
        <w:trPr>
          <w:trHeight w:val="1120" w:hRule="atLeast"/>
        </w:trPr>
        <w:tc>
          <w:tcPr>
            <w:tcBorders>
              <w:top w:color="000000" w:space="0" w:sz="8" w:val="single"/>
              <w:left w:color="000000" w:space="0" w:sz="8" w:val="single"/>
              <w:bottom w:color="000000" w:space="0" w:sz="0" w:val="nil"/>
              <w:right w:color="000000" w:space="0" w:sz="8" w:val="single"/>
            </w:tcBorders>
            <w:vAlign w:val="center"/>
          </w:tcPr>
          <w:p w:rsidR="00000000" w:rsidDel="00000000" w:rsidP="00000000" w:rsidRDefault="00000000" w:rsidRPr="00000000" w14:paraId="00000049">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OTROS BIENES Y CONSUMOS MÍNIMOS</w:t>
            </w:r>
          </w:p>
        </w:tc>
        <w:tc>
          <w:tcPr>
            <w:tcBorders>
              <w:top w:color="000000" w:space="0" w:sz="8" w:val="single"/>
              <w:left w:color="000000" w:space="0" w:sz="0" w:val="nil"/>
              <w:bottom w:color="000000" w:space="0" w:sz="0" w:val="nil"/>
              <w:right w:color="000000" w:space="0" w:sz="8" w:val="single"/>
            </w:tcBorders>
            <w:vAlign w:val="center"/>
          </w:tcPr>
          <w:p w:rsidR="00000000" w:rsidDel="00000000" w:rsidP="00000000" w:rsidRDefault="00000000" w:rsidRPr="00000000" w14:paraId="0000004A">
            <w:pPr>
              <w:jc w:val="center"/>
              <w:rPr>
                <w:color w:val="000000"/>
                <w:sz w:val="22"/>
                <w:szCs w:val="22"/>
              </w:rPr>
            </w:pPr>
            <w:r w:rsidDel="00000000" w:rsidR="00000000" w:rsidRPr="00000000">
              <w:rPr>
                <w:color w:val="000000"/>
                <w:sz w:val="22"/>
                <w:szCs w:val="22"/>
                <w:rtl w:val="0"/>
              </w:rPr>
              <w:t xml:space="preserve">$ 31.247</w:t>
            </w:r>
          </w:p>
        </w:tc>
        <w:tc>
          <w:tcPr>
            <w:tcBorders>
              <w:top w:color="000000" w:space="0" w:sz="8" w:val="single"/>
              <w:left w:color="000000" w:space="0" w:sz="0" w:val="nil"/>
              <w:bottom w:color="000000" w:space="0" w:sz="0" w:val="nil"/>
              <w:right w:color="000000" w:space="0" w:sz="8" w:val="single"/>
            </w:tcBorders>
            <w:vAlign w:val="center"/>
          </w:tcPr>
          <w:p w:rsidR="00000000" w:rsidDel="00000000" w:rsidP="00000000" w:rsidRDefault="00000000" w:rsidRPr="00000000" w14:paraId="0000004B">
            <w:pPr>
              <w:jc w:val="center"/>
              <w:rPr>
                <w:color w:val="000000"/>
                <w:sz w:val="22"/>
                <w:szCs w:val="22"/>
              </w:rPr>
            </w:pPr>
            <w:r w:rsidDel="00000000" w:rsidR="00000000" w:rsidRPr="00000000">
              <w:rPr>
                <w:color w:val="000000"/>
                <w:sz w:val="22"/>
                <w:szCs w:val="22"/>
                <w:rtl w:val="0"/>
              </w:rPr>
              <w:t xml:space="preserve">$ 27.247,4</w:t>
            </w:r>
          </w:p>
        </w:tc>
        <w:tc>
          <w:tcPr>
            <w:tcBorders>
              <w:top w:color="000000" w:space="0" w:sz="8" w:val="single"/>
              <w:left w:color="000000" w:space="0" w:sz="0" w:val="nil"/>
              <w:bottom w:color="000000" w:space="0" w:sz="0" w:val="nil"/>
              <w:right w:color="000000" w:space="0" w:sz="8" w:val="single"/>
            </w:tcBorders>
            <w:vAlign w:val="center"/>
          </w:tcPr>
          <w:p w:rsidR="00000000" w:rsidDel="00000000" w:rsidP="00000000" w:rsidRDefault="00000000" w:rsidRPr="00000000" w14:paraId="0000004C">
            <w:pPr>
              <w:jc w:val="center"/>
              <w:rPr>
                <w:color w:val="000000"/>
                <w:sz w:val="22"/>
                <w:szCs w:val="22"/>
              </w:rPr>
            </w:pPr>
            <w:r w:rsidDel="00000000" w:rsidR="00000000" w:rsidRPr="00000000">
              <w:rPr>
                <w:color w:val="000000"/>
                <w:sz w:val="22"/>
                <w:szCs w:val="22"/>
                <w:rtl w:val="0"/>
              </w:rPr>
              <w:t xml:space="preserve">$ 27.684,8</w:t>
            </w:r>
          </w:p>
        </w:tc>
        <w:tc>
          <w:tcPr>
            <w:tcBorders>
              <w:top w:color="000000" w:space="0" w:sz="8" w:val="single"/>
              <w:left w:color="000000" w:space="0" w:sz="0" w:val="nil"/>
              <w:bottom w:color="000000" w:space="0" w:sz="0" w:val="nil"/>
              <w:right w:color="000000" w:space="0" w:sz="8" w:val="single"/>
            </w:tcBorders>
            <w:vAlign w:val="center"/>
          </w:tcPr>
          <w:p w:rsidR="00000000" w:rsidDel="00000000" w:rsidP="00000000" w:rsidRDefault="00000000" w:rsidRPr="00000000" w14:paraId="0000004D">
            <w:pPr>
              <w:jc w:val="center"/>
              <w:rPr>
                <w:color w:val="000000"/>
                <w:sz w:val="22"/>
                <w:szCs w:val="22"/>
              </w:rPr>
            </w:pPr>
            <w:r w:rsidDel="00000000" w:rsidR="00000000" w:rsidRPr="00000000">
              <w:rPr>
                <w:color w:val="000000"/>
                <w:sz w:val="22"/>
                <w:szCs w:val="22"/>
                <w:rtl w:val="0"/>
              </w:rPr>
              <w:t xml:space="preserve">$ 27.028,7</w:t>
            </w:r>
          </w:p>
        </w:tc>
        <w:tc>
          <w:tcPr>
            <w:tcBorders>
              <w:top w:color="000000" w:space="0" w:sz="8" w:val="single"/>
              <w:left w:color="000000" w:space="0" w:sz="0" w:val="nil"/>
              <w:bottom w:color="000000" w:space="0" w:sz="0" w:val="nil"/>
              <w:right w:color="000000" w:space="0" w:sz="8" w:val="single"/>
            </w:tcBorders>
            <w:vAlign w:val="center"/>
          </w:tcPr>
          <w:p w:rsidR="00000000" w:rsidDel="00000000" w:rsidP="00000000" w:rsidRDefault="00000000" w:rsidRPr="00000000" w14:paraId="0000004E">
            <w:pPr>
              <w:jc w:val="center"/>
              <w:rPr>
                <w:color w:val="000000"/>
                <w:sz w:val="22"/>
                <w:szCs w:val="22"/>
              </w:rPr>
            </w:pPr>
            <w:r w:rsidDel="00000000" w:rsidR="00000000" w:rsidRPr="00000000">
              <w:rPr>
                <w:color w:val="000000"/>
                <w:sz w:val="22"/>
                <w:szCs w:val="22"/>
                <w:rtl w:val="0"/>
              </w:rPr>
              <w:t xml:space="preserve">$ 28.247,3</w:t>
            </w:r>
          </w:p>
        </w:tc>
        <w:tc>
          <w:tcPr>
            <w:tcBorders>
              <w:top w:color="000000" w:space="0" w:sz="8" w:val="single"/>
              <w:left w:color="000000" w:space="0" w:sz="0" w:val="nil"/>
              <w:bottom w:color="000000" w:space="0" w:sz="0" w:val="nil"/>
              <w:right w:color="000000" w:space="0" w:sz="8" w:val="single"/>
            </w:tcBorders>
            <w:vAlign w:val="center"/>
          </w:tcPr>
          <w:p w:rsidR="00000000" w:rsidDel="00000000" w:rsidP="00000000" w:rsidRDefault="00000000" w:rsidRPr="00000000" w14:paraId="0000004F">
            <w:pPr>
              <w:jc w:val="center"/>
              <w:rPr>
                <w:color w:val="000000"/>
                <w:sz w:val="22"/>
                <w:szCs w:val="22"/>
              </w:rPr>
            </w:pPr>
            <w:r w:rsidDel="00000000" w:rsidR="00000000" w:rsidRPr="00000000">
              <w:rPr>
                <w:color w:val="000000"/>
                <w:sz w:val="22"/>
                <w:szCs w:val="22"/>
                <w:rtl w:val="0"/>
              </w:rPr>
              <w:t xml:space="preserve">$ 29.653,4</w:t>
            </w:r>
          </w:p>
        </w:tc>
      </w:tr>
      <w:tr>
        <w:trPr>
          <w:trHeight w:val="112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0">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TOTAL CANASTA DE CONSUMOS MÍNIMOS</w:t>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51">
            <w:pPr>
              <w:jc w:val="center"/>
              <w:rPr>
                <w:b w:val="1"/>
                <w:color w:val="000000"/>
              </w:rPr>
            </w:pPr>
            <w:r w:rsidDel="00000000" w:rsidR="00000000" w:rsidRPr="00000000">
              <w:rPr>
                <w:b w:val="1"/>
                <w:color w:val="000000"/>
                <w:rtl w:val="0"/>
              </w:rPr>
              <w:t xml:space="preserve">$ 45.956,2</w:t>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52">
            <w:pPr>
              <w:jc w:val="center"/>
              <w:rPr>
                <w:b w:val="1"/>
                <w:color w:val="000000"/>
              </w:rPr>
            </w:pPr>
            <w:r w:rsidDel="00000000" w:rsidR="00000000" w:rsidRPr="00000000">
              <w:rPr>
                <w:b w:val="1"/>
                <w:color w:val="000000"/>
                <w:rtl w:val="0"/>
              </w:rPr>
              <w:t xml:space="preserve">$40.382,7</w:t>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53">
            <w:pPr>
              <w:rPr>
                <w:b w:val="1"/>
                <w:color w:val="000000"/>
              </w:rPr>
            </w:pPr>
            <w:r w:rsidDel="00000000" w:rsidR="00000000" w:rsidRPr="00000000">
              <w:rPr>
                <w:b w:val="1"/>
                <w:color w:val="000000"/>
                <w:rtl w:val="0"/>
              </w:rPr>
              <w:t xml:space="preserve">$ 40.893,7</w:t>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54">
            <w:pPr>
              <w:jc w:val="center"/>
              <w:rPr>
                <w:b w:val="1"/>
                <w:color w:val="000000"/>
              </w:rPr>
            </w:pPr>
            <w:r w:rsidDel="00000000" w:rsidR="00000000" w:rsidRPr="00000000">
              <w:rPr>
                <w:b w:val="1"/>
                <w:color w:val="000000"/>
                <w:rtl w:val="0"/>
              </w:rPr>
              <w:t xml:space="preserve">$39.972,8</w:t>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55">
            <w:pPr>
              <w:jc w:val="center"/>
              <w:rPr>
                <w:b w:val="1"/>
                <w:color w:val="000000"/>
              </w:rPr>
            </w:pPr>
            <w:r w:rsidDel="00000000" w:rsidR="00000000" w:rsidRPr="00000000">
              <w:rPr>
                <w:b w:val="1"/>
                <w:color w:val="000000"/>
                <w:rtl w:val="0"/>
              </w:rPr>
              <w:t xml:space="preserve">$ 42.132,8</w:t>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56">
            <w:pPr>
              <w:jc w:val="center"/>
              <w:rPr>
                <w:b w:val="1"/>
                <w:color w:val="000000"/>
              </w:rPr>
            </w:pPr>
            <w:r w:rsidDel="00000000" w:rsidR="00000000" w:rsidRPr="00000000">
              <w:rPr>
                <w:b w:val="1"/>
                <w:color w:val="000000"/>
                <w:rtl w:val="0"/>
              </w:rPr>
              <w:t xml:space="preserve">$ 44.877,4</w:t>
            </w:r>
          </w:p>
        </w:tc>
      </w:tr>
    </w:tbl>
    <w:p w:rsidR="00000000" w:rsidDel="00000000" w:rsidP="00000000" w:rsidRDefault="00000000" w:rsidRPr="00000000" w14:paraId="00000057">
      <w:pPr>
        <w:jc w:val="both"/>
        <w:rPr>
          <w:rFonts w:ascii="Calibri" w:cs="Calibri" w:eastAsia="Calibri" w:hAnsi="Calibri"/>
          <w:b w:val="1"/>
          <w:sz w:val="19"/>
          <w:szCs w:val="19"/>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b w:val="1"/>
          <w:sz w:val="19"/>
          <w:szCs w:val="19"/>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Se debe tener en cuenta que:</w:t>
      </w:r>
    </w:p>
    <w:p w:rsidR="00000000" w:rsidDel="00000000" w:rsidP="00000000" w:rsidRDefault="00000000" w:rsidRPr="00000000" w14:paraId="0000005A">
      <w:pPr>
        <w:jc w:val="both"/>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Las “Canastas de Consumos Mínimos” NO implican un modelo de lo que sería una canasta óptima, deseable, (que no puede surgir de un análisis estadístico, sino de una discusión social más global acerca de los objetivos y valores a</w:t>
      </w:r>
      <w:r w:rsidDel="00000000" w:rsidR="00000000" w:rsidRPr="00000000">
        <w:rPr>
          <w:rFonts w:ascii="Calibri" w:cs="Calibri" w:eastAsia="Calibri" w:hAnsi="Calibri"/>
          <w:b w:val="1"/>
          <w:sz w:val="20"/>
          <w:szCs w:val="20"/>
          <w:rtl w:val="0"/>
        </w:rPr>
        <w:t xml:space="preserve"> que se </w:t>
      </w:r>
      <w:r w:rsidDel="00000000" w:rsidR="00000000" w:rsidRPr="00000000">
        <w:rPr>
          <w:rFonts w:ascii="Calibri" w:cs="Calibri" w:eastAsia="Calibri" w:hAnsi="Calibri"/>
          <w:b w:val="1"/>
          <w:sz w:val="19"/>
          <w:szCs w:val="19"/>
          <w:rtl w:val="0"/>
        </w:rPr>
        <w:t xml:space="preserve">aspira). Éstos son valores de mínima. Por eso mismo, </w:t>
      </w:r>
      <w:r w:rsidDel="00000000" w:rsidR="00000000" w:rsidRPr="00000000">
        <w:rPr>
          <w:rFonts w:ascii="Calibri" w:cs="Calibri" w:eastAsia="Calibri" w:hAnsi="Calibri"/>
          <w:b w:val="1"/>
          <w:sz w:val="19"/>
          <w:szCs w:val="19"/>
          <w:u w:val="single"/>
          <w:rtl w:val="0"/>
        </w:rPr>
        <w:t xml:space="preserve">ningún trabajador debería ganar -de bolsillo- menos que el valor calculado en este ejercicio</w:t>
      </w:r>
      <w:r w:rsidDel="00000000" w:rsidR="00000000" w:rsidRPr="00000000">
        <w:rPr>
          <w:rFonts w:ascii="Calibri" w:cs="Calibri" w:eastAsia="Calibri" w:hAnsi="Calibri"/>
          <w:b w:val="1"/>
          <w:sz w:val="19"/>
          <w:szCs w:val="19"/>
          <w:rtl w:val="0"/>
        </w:rPr>
        <w:t xml:space="preserve">.</w:t>
      </w:r>
    </w:p>
    <w:p w:rsidR="00000000" w:rsidDel="00000000" w:rsidP="00000000" w:rsidRDefault="00000000" w:rsidRPr="00000000" w14:paraId="0000005B">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5C">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5D">
      <w:pPr>
        <w:jc w:val="center"/>
        <w:rPr>
          <w:rFonts w:ascii="Calibri" w:cs="Calibri" w:eastAsia="Calibri" w:hAnsi="Calibri"/>
          <w:b w:val="1"/>
        </w:rPr>
      </w:pPr>
      <w:r w:rsidDel="00000000" w:rsidR="00000000" w:rsidRPr="00000000">
        <w:rPr>
          <w:rFonts w:ascii="Calibri" w:cs="Calibri" w:eastAsia="Calibri" w:hAnsi="Calibri"/>
          <w:b w:val="1"/>
          <w:rtl w:val="0"/>
        </w:rPr>
        <w:t xml:space="preserve">ANEXO METODOLÓGICO</w:t>
      </w:r>
    </w:p>
    <w:p w:rsidR="00000000" w:rsidDel="00000000" w:rsidP="00000000" w:rsidRDefault="00000000" w:rsidRPr="00000000" w14:paraId="0000005E">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rPr>
      </w:pPr>
      <w:r w:rsidDel="00000000" w:rsidR="00000000" w:rsidRPr="00000000">
        <w:rPr>
          <w:rFonts w:ascii="Calibri" w:cs="Calibri" w:eastAsia="Calibri" w:hAnsi="Calibri"/>
          <w:rtl w:val="0"/>
        </w:rPr>
        <w:t xml:space="preserve">I- COMPOSICIÓN DE LAS CANASTAS UTILIZADAS</w:t>
      </w:r>
      <w:r w:rsidDel="00000000" w:rsidR="00000000" w:rsidRPr="00000000">
        <w:rPr>
          <w:rFonts w:ascii="Calibri" w:cs="Calibri" w:eastAsia="Calibri" w:hAnsi="Calibri"/>
          <w:vertAlign w:val="superscript"/>
        </w:rPr>
        <w:footnoteReference w:customMarkFollows="0" w:id="1"/>
      </w:r>
      <w:r w:rsidDel="00000000" w:rsidR="00000000" w:rsidRPr="00000000">
        <w:rPr>
          <w:rFonts w:ascii="Calibri" w:cs="Calibri" w:eastAsia="Calibri" w:hAnsi="Calibri"/>
          <w:rtl w:val="0"/>
        </w:rPr>
        <w:t xml:space="preserve">:</w:t>
      </w:r>
    </w:p>
    <w:p w:rsidR="00000000" w:rsidDel="00000000" w:rsidP="00000000" w:rsidRDefault="00000000" w:rsidRPr="00000000" w14:paraId="00000060">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Canasta de Bienes y Servicios Mensuales y Canasta Total </w:t>
      </w:r>
    </w:p>
    <w:tbl>
      <w:tblPr>
        <w:tblStyle w:val="Table2"/>
        <w:tblW w:w="7488.0" w:type="dxa"/>
        <w:jc w:val="left"/>
        <w:tblInd w:w="0.0" w:type="dxa"/>
        <w:tblLayout w:type="fixed"/>
        <w:tblLook w:val="0000"/>
      </w:tblPr>
      <w:tblGrid>
        <w:gridCol w:w="7488"/>
        <w:tblGridChange w:id="0">
          <w:tblGrid>
            <w:gridCol w:w="7488"/>
          </w:tblGrid>
        </w:tblGridChange>
      </w:tblGrid>
      <w:tr>
        <w:trPr>
          <w:trHeight w:val="200" w:hRule="atLeast"/>
        </w:trPr>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Sistema de Canastas de Consumo. Noviembre 2011. </w:t>
            </w:r>
          </w:p>
        </w:tc>
      </w:tr>
      <w:tr>
        <w:trPr>
          <w:trHeight w:val="80" w:hRule="atLeast"/>
        </w:trPr>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04041"/>
                <w:sz w:val="16"/>
                <w:szCs w:val="16"/>
                <w:u w:val="none"/>
                <w:shd w:fill="auto" w:val="clear"/>
                <w:vertAlign w:val="baseline"/>
              </w:rPr>
            </w:pPr>
            <w:r w:rsidDel="00000000" w:rsidR="00000000" w:rsidRPr="00000000">
              <w:rPr>
                <w:rFonts w:ascii="Calibri" w:cs="Calibri" w:eastAsia="Calibri" w:hAnsi="Calibri"/>
                <w:b w:val="1"/>
                <w:i w:val="0"/>
                <w:smallCaps w:val="0"/>
                <w:strike w:val="0"/>
                <w:color w:val="404041"/>
                <w:sz w:val="16"/>
                <w:szCs w:val="16"/>
                <w:u w:val="none"/>
                <w:shd w:fill="auto" w:val="clear"/>
                <w:vertAlign w:val="baseline"/>
                <w:rtl w:val="0"/>
              </w:rPr>
              <w:t xml:space="preserve">Canasta Alimentaria </w:t>
            </w:r>
            <w:r w:rsidDel="00000000" w:rsidR="00000000" w:rsidRPr="00000000">
              <w:rPr>
                <w:rtl w:val="0"/>
              </w:rPr>
            </w:r>
          </w:p>
        </w:tc>
      </w:tr>
      <w:tr>
        <w:trPr>
          <w:trHeight w:val="80" w:hRule="atLeast"/>
        </w:trPr>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04041"/>
                <w:sz w:val="16"/>
                <w:szCs w:val="16"/>
                <w:u w:val="none"/>
                <w:shd w:fill="auto" w:val="clear"/>
                <w:vertAlign w:val="baseline"/>
              </w:rPr>
            </w:pPr>
            <w:r w:rsidDel="00000000" w:rsidR="00000000" w:rsidRPr="00000000">
              <w:rPr>
                <w:rFonts w:ascii="Calibri" w:cs="Calibri" w:eastAsia="Calibri" w:hAnsi="Calibri"/>
                <w:b w:val="0"/>
                <w:i w:val="0"/>
                <w:smallCaps w:val="0"/>
                <w:strike w:val="0"/>
                <w:color w:val="404041"/>
                <w:sz w:val="16"/>
                <w:szCs w:val="16"/>
                <w:u w:val="none"/>
                <w:shd w:fill="auto" w:val="clear"/>
                <w:vertAlign w:val="baseline"/>
                <w:rtl w:val="0"/>
              </w:rPr>
              <w:t xml:space="preserve">Alquileres</w:t>
            </w:r>
          </w:p>
        </w:tc>
      </w:tr>
      <w:tr>
        <w:trPr>
          <w:trHeight w:val="80" w:hRule="atLeast"/>
        </w:trPr>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04041"/>
                <w:sz w:val="16"/>
                <w:szCs w:val="16"/>
                <w:u w:val="none"/>
                <w:shd w:fill="auto" w:val="clear"/>
                <w:vertAlign w:val="baseline"/>
              </w:rPr>
            </w:pPr>
            <w:r w:rsidDel="00000000" w:rsidR="00000000" w:rsidRPr="00000000">
              <w:rPr>
                <w:rFonts w:ascii="Calibri" w:cs="Calibri" w:eastAsia="Calibri" w:hAnsi="Calibri"/>
                <w:b w:val="0"/>
                <w:i w:val="0"/>
                <w:smallCaps w:val="0"/>
                <w:strike w:val="0"/>
                <w:color w:val="404041"/>
                <w:sz w:val="16"/>
                <w:szCs w:val="16"/>
                <w:u w:val="none"/>
                <w:shd w:fill="auto" w:val="clear"/>
                <w:vertAlign w:val="baseline"/>
                <w:rtl w:val="0"/>
              </w:rPr>
              <w:t xml:space="preserve">Expensas</w:t>
            </w:r>
          </w:p>
        </w:tc>
      </w:tr>
      <w:tr>
        <w:trPr>
          <w:trHeight w:val="80" w:hRule="atLeast"/>
        </w:trPr>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04041"/>
                <w:sz w:val="16"/>
                <w:szCs w:val="16"/>
                <w:u w:val="none"/>
                <w:shd w:fill="auto" w:val="clear"/>
                <w:vertAlign w:val="baseline"/>
              </w:rPr>
            </w:pPr>
            <w:r w:rsidDel="00000000" w:rsidR="00000000" w:rsidRPr="00000000">
              <w:rPr>
                <w:rFonts w:ascii="Calibri" w:cs="Calibri" w:eastAsia="Calibri" w:hAnsi="Calibri"/>
                <w:b w:val="0"/>
                <w:i w:val="0"/>
                <w:smallCaps w:val="0"/>
                <w:strike w:val="0"/>
                <w:color w:val="404041"/>
                <w:sz w:val="16"/>
                <w:szCs w:val="16"/>
                <w:u w:val="none"/>
                <w:shd w:fill="auto" w:val="clear"/>
                <w:vertAlign w:val="baseline"/>
                <w:rtl w:val="0"/>
              </w:rPr>
              <w:t xml:space="preserve">Gas</w:t>
            </w:r>
          </w:p>
        </w:tc>
      </w:tr>
      <w:tr>
        <w:trPr>
          <w:trHeight w:val="80" w:hRule="atLeast"/>
        </w:trPr>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04041"/>
                <w:sz w:val="16"/>
                <w:szCs w:val="16"/>
                <w:u w:val="none"/>
                <w:shd w:fill="auto" w:val="clear"/>
                <w:vertAlign w:val="baseline"/>
              </w:rPr>
            </w:pPr>
            <w:r w:rsidDel="00000000" w:rsidR="00000000" w:rsidRPr="00000000">
              <w:rPr>
                <w:rFonts w:ascii="Calibri" w:cs="Calibri" w:eastAsia="Calibri" w:hAnsi="Calibri"/>
                <w:b w:val="0"/>
                <w:i w:val="0"/>
                <w:smallCaps w:val="0"/>
                <w:strike w:val="0"/>
                <w:color w:val="404041"/>
                <w:sz w:val="16"/>
                <w:szCs w:val="16"/>
                <w:u w:val="none"/>
                <w:shd w:fill="auto" w:val="clear"/>
                <w:vertAlign w:val="baseline"/>
                <w:rtl w:val="0"/>
              </w:rPr>
              <w:t xml:space="preserve">Electricidad</w:t>
            </w:r>
          </w:p>
        </w:tc>
      </w:tr>
      <w:tr>
        <w:trPr>
          <w:trHeight w:val="80" w:hRule="atLeast"/>
        </w:trPr>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04041"/>
                <w:sz w:val="16"/>
                <w:szCs w:val="16"/>
                <w:u w:val="none"/>
                <w:shd w:fill="auto" w:val="clear"/>
                <w:vertAlign w:val="baseline"/>
              </w:rPr>
            </w:pPr>
            <w:r w:rsidDel="00000000" w:rsidR="00000000" w:rsidRPr="00000000">
              <w:rPr>
                <w:rFonts w:ascii="Calibri" w:cs="Calibri" w:eastAsia="Calibri" w:hAnsi="Calibri"/>
                <w:b w:val="0"/>
                <w:i w:val="0"/>
                <w:smallCaps w:val="0"/>
                <w:strike w:val="0"/>
                <w:color w:val="404041"/>
                <w:sz w:val="16"/>
                <w:szCs w:val="16"/>
                <w:u w:val="none"/>
                <w:shd w:fill="auto" w:val="clear"/>
                <w:vertAlign w:val="baseline"/>
                <w:rtl w:val="0"/>
              </w:rPr>
              <w:t xml:space="preserve">Agua</w:t>
            </w:r>
          </w:p>
        </w:tc>
      </w:tr>
      <w:tr>
        <w:trPr>
          <w:trHeight w:val="80" w:hRule="atLeast"/>
        </w:trPr>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04041"/>
                <w:sz w:val="16"/>
                <w:szCs w:val="16"/>
                <w:u w:val="none"/>
                <w:shd w:fill="auto" w:val="clear"/>
                <w:vertAlign w:val="baseline"/>
              </w:rPr>
            </w:pPr>
            <w:r w:rsidDel="00000000" w:rsidR="00000000" w:rsidRPr="00000000">
              <w:rPr>
                <w:rFonts w:ascii="Calibri" w:cs="Calibri" w:eastAsia="Calibri" w:hAnsi="Calibri"/>
                <w:b w:val="0"/>
                <w:i w:val="0"/>
                <w:smallCaps w:val="0"/>
                <w:strike w:val="0"/>
                <w:color w:val="404041"/>
                <w:sz w:val="16"/>
                <w:szCs w:val="16"/>
                <w:u w:val="none"/>
                <w:shd w:fill="auto" w:val="clear"/>
                <w:vertAlign w:val="baseline"/>
                <w:rtl w:val="0"/>
              </w:rPr>
              <w:t xml:space="preserve">Transporte público</w:t>
            </w:r>
          </w:p>
        </w:tc>
      </w:tr>
      <w:tr>
        <w:trPr>
          <w:trHeight w:val="80" w:hRule="atLeast"/>
        </w:trPr>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04041"/>
                <w:sz w:val="16"/>
                <w:szCs w:val="16"/>
                <w:u w:val="none"/>
                <w:shd w:fill="auto" w:val="clear"/>
                <w:vertAlign w:val="baseline"/>
              </w:rPr>
            </w:pPr>
            <w:r w:rsidDel="00000000" w:rsidR="00000000" w:rsidRPr="00000000">
              <w:rPr>
                <w:rFonts w:ascii="Calibri" w:cs="Calibri" w:eastAsia="Calibri" w:hAnsi="Calibri"/>
                <w:b w:val="0"/>
                <w:i w:val="0"/>
                <w:smallCaps w:val="0"/>
                <w:strike w:val="0"/>
                <w:color w:val="404041"/>
                <w:sz w:val="16"/>
                <w:szCs w:val="16"/>
                <w:u w:val="none"/>
                <w:shd w:fill="auto" w:val="clear"/>
                <w:vertAlign w:val="baseline"/>
                <w:rtl w:val="0"/>
              </w:rPr>
              <w:t xml:space="preserve">Comunicaciones </w:t>
            </w:r>
          </w:p>
        </w:tc>
      </w:tr>
      <w:tr>
        <w:trPr>
          <w:trHeight w:val="80" w:hRule="atLeast"/>
        </w:trPr>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04041"/>
                <w:sz w:val="16"/>
                <w:szCs w:val="16"/>
                <w:u w:val="none"/>
                <w:shd w:fill="auto" w:val="clear"/>
                <w:vertAlign w:val="baseline"/>
              </w:rPr>
            </w:pPr>
            <w:r w:rsidDel="00000000" w:rsidR="00000000" w:rsidRPr="00000000">
              <w:rPr>
                <w:rFonts w:ascii="Calibri" w:cs="Calibri" w:eastAsia="Calibri" w:hAnsi="Calibri"/>
                <w:b w:val="1"/>
                <w:i w:val="0"/>
                <w:smallCaps w:val="0"/>
                <w:strike w:val="0"/>
                <w:color w:val="404041"/>
                <w:sz w:val="16"/>
                <w:szCs w:val="16"/>
                <w:u w:val="none"/>
                <w:shd w:fill="auto" w:val="clear"/>
                <w:vertAlign w:val="baseline"/>
                <w:rtl w:val="0"/>
              </w:rPr>
              <w:t xml:space="preserve">Canasta Alimentaria y de Servicios del Hogar</w:t>
            </w:r>
            <w:r w:rsidDel="00000000" w:rsidR="00000000" w:rsidRPr="00000000">
              <w:rPr>
                <w:rtl w:val="0"/>
              </w:rPr>
            </w:r>
          </w:p>
        </w:tc>
      </w:tr>
      <w:tr>
        <w:trPr>
          <w:trHeight w:val="80" w:hRule="atLeast"/>
        </w:trPr>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04041"/>
                <w:sz w:val="16"/>
                <w:szCs w:val="16"/>
                <w:u w:val="none"/>
                <w:shd w:fill="auto" w:val="clear"/>
                <w:vertAlign w:val="baseline"/>
              </w:rPr>
            </w:pPr>
            <w:r w:rsidDel="00000000" w:rsidR="00000000" w:rsidRPr="00000000">
              <w:rPr>
                <w:rFonts w:ascii="Calibri" w:cs="Calibri" w:eastAsia="Calibri" w:hAnsi="Calibri"/>
                <w:b w:val="0"/>
                <w:i w:val="0"/>
                <w:smallCaps w:val="0"/>
                <w:strike w:val="0"/>
                <w:color w:val="404041"/>
                <w:sz w:val="16"/>
                <w:szCs w:val="16"/>
                <w:u w:val="none"/>
                <w:shd w:fill="auto" w:val="clear"/>
                <w:vertAlign w:val="baseline"/>
                <w:rtl w:val="0"/>
              </w:rPr>
              <w:t xml:space="preserve">Servicios para la educación </w:t>
            </w:r>
          </w:p>
        </w:tc>
      </w:tr>
      <w:tr>
        <w:trPr>
          <w:trHeight w:val="80" w:hRule="atLeast"/>
        </w:trPr>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04041"/>
                <w:sz w:val="16"/>
                <w:szCs w:val="16"/>
                <w:u w:val="none"/>
                <w:shd w:fill="auto" w:val="clear"/>
                <w:vertAlign w:val="baseline"/>
              </w:rPr>
            </w:pPr>
            <w:r w:rsidDel="00000000" w:rsidR="00000000" w:rsidRPr="00000000">
              <w:rPr>
                <w:rFonts w:ascii="Calibri" w:cs="Calibri" w:eastAsia="Calibri" w:hAnsi="Calibri"/>
                <w:b w:val="0"/>
                <w:i w:val="0"/>
                <w:smallCaps w:val="0"/>
                <w:strike w:val="0"/>
                <w:color w:val="404041"/>
                <w:sz w:val="16"/>
                <w:szCs w:val="16"/>
                <w:u w:val="none"/>
                <w:shd w:fill="auto" w:val="clear"/>
                <w:vertAlign w:val="baseline"/>
                <w:rtl w:val="0"/>
              </w:rPr>
              <w:t xml:space="preserve">Textos y materiales escolares </w:t>
            </w:r>
          </w:p>
        </w:tc>
      </w:tr>
      <w:tr>
        <w:trPr>
          <w:trHeight w:val="80" w:hRule="atLeast"/>
        </w:trPr>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04041"/>
                <w:sz w:val="16"/>
                <w:szCs w:val="16"/>
                <w:u w:val="none"/>
                <w:shd w:fill="auto" w:val="clear"/>
                <w:vertAlign w:val="baseline"/>
              </w:rPr>
            </w:pPr>
            <w:r w:rsidDel="00000000" w:rsidR="00000000" w:rsidRPr="00000000">
              <w:rPr>
                <w:rFonts w:ascii="Calibri" w:cs="Calibri" w:eastAsia="Calibri" w:hAnsi="Calibri"/>
                <w:b w:val="0"/>
                <w:i w:val="0"/>
                <w:smallCaps w:val="0"/>
                <w:strike w:val="0"/>
                <w:color w:val="404041"/>
                <w:sz w:val="16"/>
                <w:szCs w:val="16"/>
                <w:u w:val="none"/>
                <w:shd w:fill="auto" w:val="clear"/>
                <w:vertAlign w:val="baseline"/>
                <w:rtl w:val="0"/>
              </w:rPr>
              <w:t xml:space="preserve">Artículos de limpieza </w:t>
            </w:r>
          </w:p>
        </w:tc>
      </w:tr>
      <w:tr>
        <w:trPr>
          <w:trHeight w:val="80" w:hRule="atLeast"/>
        </w:trPr>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04041"/>
                <w:sz w:val="16"/>
                <w:szCs w:val="16"/>
                <w:u w:val="none"/>
                <w:shd w:fill="auto" w:val="clear"/>
                <w:vertAlign w:val="baseline"/>
              </w:rPr>
            </w:pPr>
            <w:r w:rsidDel="00000000" w:rsidR="00000000" w:rsidRPr="00000000">
              <w:rPr>
                <w:rFonts w:ascii="Calibri" w:cs="Calibri" w:eastAsia="Calibri" w:hAnsi="Calibri"/>
                <w:b w:val="0"/>
                <w:i w:val="0"/>
                <w:smallCaps w:val="0"/>
                <w:strike w:val="0"/>
                <w:color w:val="404041"/>
                <w:sz w:val="16"/>
                <w:szCs w:val="16"/>
                <w:u w:val="none"/>
                <w:shd w:fill="auto" w:val="clear"/>
                <w:vertAlign w:val="baseline"/>
                <w:rtl w:val="0"/>
              </w:rPr>
              <w:t xml:space="preserve">Servicios de esparcimiento </w:t>
            </w:r>
          </w:p>
        </w:tc>
      </w:tr>
      <w:tr>
        <w:trPr>
          <w:trHeight w:val="80" w:hRule="atLeast"/>
        </w:trPr>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04041"/>
                <w:sz w:val="16"/>
                <w:szCs w:val="16"/>
                <w:u w:val="none"/>
                <w:shd w:fill="auto" w:val="clear"/>
                <w:vertAlign w:val="baseline"/>
              </w:rPr>
            </w:pPr>
            <w:r w:rsidDel="00000000" w:rsidR="00000000" w:rsidRPr="00000000">
              <w:rPr>
                <w:rFonts w:ascii="Calibri" w:cs="Calibri" w:eastAsia="Calibri" w:hAnsi="Calibri"/>
                <w:b w:val="0"/>
                <w:i w:val="0"/>
                <w:smallCaps w:val="0"/>
                <w:strike w:val="0"/>
                <w:color w:val="404041"/>
                <w:sz w:val="16"/>
                <w:szCs w:val="16"/>
                <w:u w:val="none"/>
                <w:shd w:fill="auto" w:val="clear"/>
                <w:vertAlign w:val="baseline"/>
                <w:rtl w:val="0"/>
              </w:rPr>
              <w:t xml:space="preserve">Bienes y servicios para el cuidado personal</w:t>
            </w:r>
          </w:p>
        </w:tc>
      </w:tr>
      <w:tr>
        <w:trPr>
          <w:trHeight w:val="80" w:hRule="atLeast"/>
        </w:trPr>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04041"/>
                <w:sz w:val="16"/>
                <w:szCs w:val="16"/>
                <w:u w:val="none"/>
                <w:shd w:fill="auto" w:val="clear"/>
                <w:vertAlign w:val="baseline"/>
              </w:rPr>
            </w:pPr>
            <w:r w:rsidDel="00000000" w:rsidR="00000000" w:rsidRPr="00000000">
              <w:rPr>
                <w:rFonts w:ascii="Calibri" w:cs="Calibri" w:eastAsia="Calibri" w:hAnsi="Calibri"/>
                <w:b w:val="1"/>
                <w:i w:val="0"/>
                <w:smallCaps w:val="0"/>
                <w:strike w:val="0"/>
                <w:color w:val="404041"/>
                <w:sz w:val="16"/>
                <w:szCs w:val="16"/>
                <w:u w:val="none"/>
                <w:shd w:fill="auto" w:val="clear"/>
                <w:vertAlign w:val="baseline"/>
                <w:rtl w:val="0"/>
              </w:rPr>
              <w:t xml:space="preserve">Canasta de Bienes y Servicios Mensual </w:t>
            </w:r>
            <w:r w:rsidDel="00000000" w:rsidR="00000000" w:rsidRPr="00000000">
              <w:rPr>
                <w:rtl w:val="0"/>
              </w:rPr>
            </w:r>
          </w:p>
        </w:tc>
      </w:tr>
      <w:tr>
        <w:trPr>
          <w:trHeight w:val="80" w:hRule="atLeast"/>
        </w:trPr>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04041"/>
                <w:sz w:val="16"/>
                <w:szCs w:val="16"/>
                <w:u w:val="none"/>
                <w:shd w:fill="auto" w:val="clear"/>
                <w:vertAlign w:val="baseline"/>
              </w:rPr>
            </w:pPr>
            <w:r w:rsidDel="00000000" w:rsidR="00000000" w:rsidRPr="00000000">
              <w:rPr>
                <w:rFonts w:ascii="Calibri" w:cs="Calibri" w:eastAsia="Calibri" w:hAnsi="Calibri"/>
                <w:b w:val="0"/>
                <w:i w:val="0"/>
                <w:smallCaps w:val="0"/>
                <w:strike w:val="0"/>
                <w:color w:val="404041"/>
                <w:sz w:val="16"/>
                <w:szCs w:val="16"/>
                <w:u w:val="none"/>
                <w:shd w:fill="auto" w:val="clear"/>
                <w:vertAlign w:val="baseline"/>
                <w:rtl w:val="0"/>
              </w:rPr>
              <w:t xml:space="preserve">Indumentaria </w:t>
            </w:r>
          </w:p>
        </w:tc>
      </w:tr>
      <w:tr>
        <w:trPr>
          <w:trHeight w:val="80" w:hRule="atLeast"/>
        </w:trPr>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04041"/>
                <w:sz w:val="16"/>
                <w:szCs w:val="16"/>
                <w:u w:val="none"/>
                <w:shd w:fill="auto" w:val="clear"/>
                <w:vertAlign w:val="baseline"/>
              </w:rPr>
            </w:pPr>
            <w:r w:rsidDel="00000000" w:rsidR="00000000" w:rsidRPr="00000000">
              <w:rPr>
                <w:rFonts w:ascii="Calibri" w:cs="Calibri" w:eastAsia="Calibri" w:hAnsi="Calibri"/>
                <w:b w:val="0"/>
                <w:i w:val="0"/>
                <w:smallCaps w:val="0"/>
                <w:strike w:val="0"/>
                <w:color w:val="404041"/>
                <w:sz w:val="16"/>
                <w:szCs w:val="16"/>
                <w:u w:val="none"/>
                <w:shd w:fill="auto" w:val="clear"/>
                <w:vertAlign w:val="baseline"/>
                <w:rtl w:val="0"/>
              </w:rPr>
              <w:t xml:space="preserve">Salud </w:t>
            </w:r>
          </w:p>
        </w:tc>
      </w:tr>
      <w:tr>
        <w:trPr>
          <w:trHeight w:val="80" w:hRule="atLeast"/>
        </w:trPr>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04041"/>
                <w:sz w:val="16"/>
                <w:szCs w:val="16"/>
                <w:u w:val="none"/>
                <w:shd w:fill="auto" w:val="clear"/>
                <w:vertAlign w:val="baseline"/>
              </w:rPr>
            </w:pPr>
            <w:r w:rsidDel="00000000" w:rsidR="00000000" w:rsidRPr="00000000">
              <w:rPr>
                <w:rFonts w:ascii="Calibri" w:cs="Calibri" w:eastAsia="Calibri" w:hAnsi="Calibri"/>
                <w:b w:val="0"/>
                <w:i w:val="0"/>
                <w:smallCaps w:val="0"/>
                <w:strike w:val="0"/>
                <w:color w:val="404041"/>
                <w:sz w:val="16"/>
                <w:szCs w:val="16"/>
                <w:u w:val="none"/>
                <w:shd w:fill="auto" w:val="clear"/>
                <w:vertAlign w:val="baseline"/>
                <w:rtl w:val="0"/>
              </w:rPr>
              <w:t xml:space="preserve">Bienes durables para el equipamiento y mantenimiento de la vivienda</w:t>
            </w:r>
          </w:p>
        </w:tc>
      </w:tr>
      <w:tr>
        <w:trPr>
          <w:trHeight w:val="80" w:hRule="atLeast"/>
        </w:trPr>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04041"/>
                <w:sz w:val="16"/>
                <w:szCs w:val="16"/>
                <w:u w:val="none"/>
                <w:shd w:fill="auto" w:val="clear"/>
                <w:vertAlign w:val="baseline"/>
              </w:rPr>
            </w:pPr>
            <w:r w:rsidDel="00000000" w:rsidR="00000000" w:rsidRPr="00000000">
              <w:rPr>
                <w:rFonts w:ascii="Calibri" w:cs="Calibri" w:eastAsia="Calibri" w:hAnsi="Calibri"/>
                <w:b w:val="1"/>
                <w:i w:val="0"/>
                <w:smallCaps w:val="0"/>
                <w:strike w:val="0"/>
                <w:color w:val="404041"/>
                <w:sz w:val="16"/>
                <w:szCs w:val="16"/>
                <w:u w:val="none"/>
                <w:shd w:fill="auto" w:val="clear"/>
                <w:vertAlign w:val="baseline"/>
                <w:rtl w:val="0"/>
              </w:rPr>
              <w:t xml:space="preserve">Canasta total </w:t>
            </w:r>
            <w:r w:rsidDel="00000000" w:rsidR="00000000" w:rsidRPr="00000000">
              <w:rPr>
                <w:rtl w:val="0"/>
              </w:rPr>
            </w:r>
          </w:p>
        </w:tc>
      </w:tr>
      <w:tr>
        <w:trPr>
          <w:trHeight w:val="80" w:hRule="atLeast"/>
        </w:trPr>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626365"/>
                <w:sz w:val="20"/>
                <w:szCs w:val="20"/>
                <w:u w:val="none"/>
                <w:shd w:fill="auto" w:val="clear"/>
                <w:vertAlign w:val="baseline"/>
              </w:rPr>
            </w:pPr>
            <w:r w:rsidDel="00000000" w:rsidR="00000000" w:rsidRPr="00000000">
              <w:rPr>
                <w:rFonts w:ascii="Calibri" w:cs="Calibri" w:eastAsia="Calibri" w:hAnsi="Calibri"/>
                <w:b w:val="1"/>
                <w:i w:val="0"/>
                <w:smallCaps w:val="0"/>
                <w:strike w:val="0"/>
                <w:color w:val="626365"/>
                <w:sz w:val="20"/>
                <w:szCs w:val="20"/>
                <w:u w:val="none"/>
                <w:shd w:fill="auto" w:val="clear"/>
                <w:vertAlign w:val="baseline"/>
                <w:rtl w:val="0"/>
              </w:rPr>
              <w:t xml:space="preserve">Fuente</w:t>
            </w:r>
            <w:r w:rsidDel="00000000" w:rsidR="00000000" w:rsidRPr="00000000">
              <w:rPr>
                <w:rFonts w:ascii="Calibri" w:cs="Calibri" w:eastAsia="Calibri" w:hAnsi="Calibri"/>
                <w:b w:val="0"/>
                <w:i w:val="0"/>
                <w:smallCaps w:val="0"/>
                <w:strike w:val="0"/>
                <w:color w:val="626365"/>
                <w:sz w:val="20"/>
                <w:szCs w:val="20"/>
                <w:u w:val="none"/>
                <w:shd w:fill="auto" w:val="clear"/>
                <w:vertAlign w:val="baseline"/>
                <w:rtl w:val="0"/>
              </w:rPr>
              <w:t xml:space="preserve">: Dirección General de Estadística y Censos </w:t>
            </w:r>
          </w:p>
        </w:tc>
      </w:tr>
    </w:tbl>
    <w:p w:rsidR="00000000" w:rsidDel="00000000" w:rsidP="00000000" w:rsidRDefault="00000000" w:rsidRPr="00000000" w14:paraId="0000007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 VALORES DE REFERENCIA: </w:t>
      </w:r>
    </w:p>
    <w:p w:rsidR="00000000" w:rsidDel="00000000" w:rsidP="00000000" w:rsidRDefault="00000000" w:rsidRPr="00000000" w14:paraId="0000007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RELACIÓN ENTRE CANASTA DE GBA Y CIUDAD DE BUENOS AIRES</w:t>
      </w:r>
    </w:p>
    <w:p w:rsidR="00000000" w:rsidDel="00000000" w:rsidP="00000000" w:rsidRDefault="00000000" w:rsidRPr="00000000" w14:paraId="0000007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Canastas alimentarias, año 2005 (último disponible): </w:t>
      </w:r>
      <w:r w:rsidDel="00000000" w:rsidR="00000000" w:rsidRPr="00000000">
        <w:rPr>
          <w:rFonts w:ascii="Calibri" w:cs="Calibri" w:eastAsia="Calibri" w:hAnsi="Calibri"/>
          <w:sz w:val="33.333333333333336"/>
          <w:szCs w:val="33.333333333333336"/>
          <w:vertAlign w:val="subscript"/>
        </w:rPr>
        <w:pict>
          <v:shape id="_x0000_i1025" style="width:70.35pt;height:31.35pt" o:ole="" type="#_x0000_t75">
            <v:imagedata r:id="rId1" o:title=""/>
          </v:shape>
          <o:OLEObject DrawAspect="Content" r:id="rId2" ObjectID="_1624455524" ProgID="Equation.3" ShapeID="_x0000_i1025" Type="Embed"/>
        </w:pict>
      </w:r>
      <w:r w:rsidDel="00000000" w:rsidR="00000000" w:rsidRPr="00000000">
        <w:rPr>
          <w:rtl w:val="0"/>
        </w:rPr>
      </w:r>
    </w:p>
    <w:p w:rsidR="00000000" w:rsidDel="00000000" w:rsidP="00000000" w:rsidRDefault="00000000" w:rsidRPr="00000000" w14:paraId="0000007C">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CANASTAS REGIONALES</w:t>
      </w:r>
    </w:p>
    <w:p w:rsidR="00000000" w:rsidDel="00000000" w:rsidP="00000000" w:rsidRDefault="00000000" w:rsidRPr="00000000" w14:paraId="0000007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Para el cálculo de las Canastas Regionales se siguió la metodología de transición utilizada en la medición de la pobreza</w:t>
      </w:r>
      <w:r w:rsidDel="00000000" w:rsidR="00000000" w:rsidRPr="00000000">
        <w:rPr>
          <w:rFonts w:ascii="Calibri" w:cs="Calibri" w:eastAsia="Calibri" w:hAnsi="Calibri"/>
          <w:sz w:val="19"/>
          <w:szCs w:val="19"/>
          <w:vertAlign w:val="superscript"/>
        </w:rPr>
        <w:footnoteReference w:customMarkFollows="0" w:id="2"/>
      </w:r>
      <w:r w:rsidDel="00000000" w:rsidR="00000000" w:rsidRPr="00000000">
        <w:rPr>
          <w:rFonts w:ascii="Calibri" w:cs="Calibri" w:eastAsia="Calibri" w:hAnsi="Calibri"/>
          <w:sz w:val="19"/>
          <w:szCs w:val="19"/>
          <w:rtl w:val="0"/>
        </w:rPr>
        <w:t xml:space="preserve">: se ajusta la Canasta Básica de Alimentos (Línea de Indigencia) y la Canasta Básica Total (Línea de pobreza) del Gran Buenos Aires, con los coeficientes por región de Paridad de Precios de Compra del Consumidor</w:t>
      </w:r>
      <w:r w:rsidDel="00000000" w:rsidR="00000000" w:rsidRPr="00000000">
        <w:rPr>
          <w:rFonts w:ascii="Calibri" w:cs="Calibri" w:eastAsia="Calibri" w:hAnsi="Calibri"/>
          <w:sz w:val="19"/>
          <w:szCs w:val="19"/>
          <w:vertAlign w:val="superscript"/>
        </w:rPr>
        <w:footnoteReference w:customMarkFollows="0" w:id="3"/>
      </w:r>
      <w:r w:rsidDel="00000000" w:rsidR="00000000" w:rsidRPr="00000000">
        <w:rPr>
          <w:rFonts w:ascii="Calibri" w:cs="Calibri" w:eastAsia="Calibri" w:hAnsi="Calibri"/>
          <w:sz w:val="19"/>
          <w:szCs w:val="19"/>
          <w:rtl w:val="0"/>
        </w:rPr>
        <w:t xml:space="preserve">, elaborados sobre la base de los precios relevados en las provincias.</w:t>
      </w:r>
    </w:p>
    <w:p w:rsidR="00000000" w:rsidDel="00000000" w:rsidP="00000000" w:rsidRDefault="00000000" w:rsidRPr="00000000" w14:paraId="00000080">
      <w:pPr>
        <w:jc w:val="both"/>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81">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Paridades de Poder de Compra del Consumidor - Abril 2001</w:t>
      </w:r>
    </w:p>
    <w:p w:rsidR="00000000" w:rsidDel="00000000" w:rsidP="00000000" w:rsidRDefault="00000000" w:rsidRPr="00000000" w14:paraId="00000082">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Expresado en porcentajes del nivel de precios del Gran Buenos Aires</w:t>
      </w:r>
    </w:p>
    <w:p w:rsidR="00000000" w:rsidDel="00000000" w:rsidP="00000000" w:rsidRDefault="00000000" w:rsidRPr="00000000" w14:paraId="00000083">
      <w:pPr>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84">
      <w:pPr>
        <w:rPr>
          <w:rFonts w:ascii="Calibri" w:cs="Calibri" w:eastAsia="Calibri" w:hAnsi="Calibri"/>
          <w:sz w:val="19"/>
          <w:szCs w:val="19"/>
        </w:rPr>
      </w:pPr>
      <w:r w:rsidDel="00000000" w:rsidR="00000000" w:rsidRPr="00000000">
        <w:rPr>
          <w:rtl w:val="0"/>
        </w:rPr>
      </w:r>
    </w:p>
    <w:tbl>
      <w:tblPr>
        <w:tblStyle w:val="Table3"/>
        <w:tblW w:w="9072.0" w:type="dxa"/>
        <w:jc w:val="center"/>
        <w:tblLayout w:type="fixed"/>
        <w:tblLook w:val="0000"/>
      </w:tblPr>
      <w:tblGrid>
        <w:gridCol w:w="2380"/>
        <w:gridCol w:w="1164"/>
        <w:gridCol w:w="1134"/>
        <w:gridCol w:w="1418"/>
        <w:gridCol w:w="1417"/>
        <w:gridCol w:w="1559"/>
        <w:tblGridChange w:id="0">
          <w:tblGrid>
            <w:gridCol w:w="2380"/>
            <w:gridCol w:w="1164"/>
            <w:gridCol w:w="1134"/>
            <w:gridCol w:w="1418"/>
            <w:gridCol w:w="1417"/>
            <w:gridCol w:w="1559"/>
          </w:tblGrid>
        </w:tblGridChange>
      </w:tblGrid>
      <w:tr>
        <w:trPr>
          <w:trHeight w:val="300" w:hRule="atLeast"/>
        </w:trPr>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5">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Tipo de gasto de consumo</w:t>
            </w:r>
          </w:p>
        </w:tc>
        <w:tc>
          <w:tcPr>
            <w:gridSpan w:val="5"/>
            <w:vMerge w:val="restart"/>
            <w:tcBorders>
              <w:top w:color="000000" w:space="0" w:sz="0" w:val="nil"/>
              <w:left w:color="000000" w:space="0" w:sz="0" w:val="nil"/>
              <w:bottom w:color="000000" w:space="0" w:sz="8" w:val="single"/>
              <w:right w:color="000000" w:space="0" w:sz="0" w:val="nil"/>
            </w:tcBorders>
            <w:vAlign w:val="center"/>
          </w:tcPr>
          <w:p w:rsidR="00000000" w:rsidDel="00000000" w:rsidP="00000000" w:rsidRDefault="00000000" w:rsidRPr="00000000" w14:paraId="00000086">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Región</w:t>
            </w:r>
          </w:p>
        </w:tc>
      </w:tr>
      <w:tr>
        <w:trPr>
          <w:trHeight w:val="300" w:hRule="atLeast"/>
        </w:trPr>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5"/>
            <w:vMerge w:val="continue"/>
            <w:tcBorders>
              <w:top w:color="000000" w:space="0" w:sz="0" w:val="nil"/>
              <w:left w:color="000000" w:space="0" w:sz="0" w:val="nil"/>
              <w:bottom w:color="000000" w:space="0" w:sz="8" w:val="single"/>
              <w:right w:color="000000" w:space="0" w:sz="0" w:val="nil"/>
            </w:tcBorders>
            <w:vAlign w:val="cente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1">
            <w:pPr>
              <w:jc w:val="center"/>
              <w:rPr>
                <w:rFonts w:ascii="Calibri" w:cs="Calibri" w:eastAsia="Calibri" w:hAnsi="Calibri"/>
                <w:color w:val="000000"/>
              </w:rPr>
            </w:pPr>
            <w:r w:rsidDel="00000000" w:rsidR="00000000" w:rsidRPr="00000000">
              <w:rPr>
                <w:rtl w:val="0"/>
              </w:rPr>
            </w:r>
          </w:p>
        </w:tc>
        <w:tc>
          <w:tcPr>
            <w:tcBorders>
              <w:top w:color="000000" w:space="0" w:sz="0" w:val="nil"/>
              <w:left w:color="000000" w:space="0" w:sz="8" w:val="single"/>
              <w:bottom w:color="000000" w:space="0" w:sz="8" w:val="single"/>
              <w:right w:color="000000" w:space="0" w:sz="4" w:val="single"/>
            </w:tcBorders>
            <w:vAlign w:val="bottom"/>
          </w:tcPr>
          <w:p w:rsidR="00000000" w:rsidDel="00000000" w:rsidP="00000000" w:rsidRDefault="00000000" w:rsidRPr="00000000" w14:paraId="00000092">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Cuyo</w:t>
            </w:r>
          </w:p>
        </w:tc>
        <w:tc>
          <w:tcPr>
            <w:tcBorders>
              <w:top w:color="000000" w:space="0" w:sz="0" w:val="nil"/>
              <w:left w:color="000000" w:space="0" w:sz="0" w:val="nil"/>
              <w:bottom w:color="000000" w:space="0" w:sz="8" w:val="single"/>
              <w:right w:color="000000" w:space="0" w:sz="4" w:val="single"/>
            </w:tcBorders>
            <w:vAlign w:val="bottom"/>
          </w:tcPr>
          <w:p w:rsidR="00000000" w:rsidDel="00000000" w:rsidP="00000000" w:rsidRDefault="00000000" w:rsidRPr="00000000" w14:paraId="00000093">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Noreste</w:t>
            </w:r>
          </w:p>
        </w:tc>
        <w:tc>
          <w:tcPr>
            <w:tcBorders>
              <w:top w:color="000000" w:space="0" w:sz="0" w:val="nil"/>
              <w:left w:color="000000" w:space="0" w:sz="0" w:val="nil"/>
              <w:bottom w:color="000000" w:space="0" w:sz="8" w:val="single"/>
              <w:right w:color="000000" w:space="0" w:sz="4" w:val="single"/>
            </w:tcBorders>
            <w:vAlign w:val="bottom"/>
          </w:tcPr>
          <w:p w:rsidR="00000000" w:rsidDel="00000000" w:rsidP="00000000" w:rsidRDefault="00000000" w:rsidRPr="00000000" w14:paraId="00000094">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Noroeste</w:t>
            </w:r>
          </w:p>
        </w:tc>
        <w:tc>
          <w:tcPr>
            <w:tcBorders>
              <w:top w:color="000000" w:space="0" w:sz="0" w:val="nil"/>
              <w:left w:color="000000" w:space="0" w:sz="0" w:val="nil"/>
              <w:bottom w:color="000000" w:space="0" w:sz="8" w:val="single"/>
              <w:right w:color="000000" w:space="0" w:sz="4" w:val="single"/>
            </w:tcBorders>
            <w:vAlign w:val="bottom"/>
          </w:tcPr>
          <w:p w:rsidR="00000000" w:rsidDel="00000000" w:rsidP="00000000" w:rsidRDefault="00000000" w:rsidRPr="00000000" w14:paraId="00000095">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Pampeana</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096">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Sur</w:t>
            </w:r>
          </w:p>
        </w:tc>
      </w:tr>
      <w:tr>
        <w:trPr>
          <w:trHeight w:val="300" w:hRule="atLeast"/>
        </w:trPr>
        <w:tc>
          <w:tcPr>
            <w:tcBorders>
              <w:top w:color="000000" w:space="0" w:sz="8" w:val="single"/>
              <w:left w:color="000000" w:space="0" w:sz="8" w:val="single"/>
              <w:bottom w:color="000000" w:space="0" w:sz="4" w:val="single"/>
              <w:right w:color="000000" w:space="0" w:sz="8" w:val="single"/>
            </w:tcBorders>
            <w:vAlign w:val="bottom"/>
          </w:tcPr>
          <w:p w:rsidR="00000000" w:rsidDel="00000000" w:rsidP="00000000" w:rsidRDefault="00000000" w:rsidRPr="00000000" w14:paraId="00000097">
            <w:pPr>
              <w:rPr>
                <w:rFonts w:ascii="Calibri" w:cs="Calibri" w:eastAsia="Calibri" w:hAnsi="Calibri"/>
                <w:color w:val="000000"/>
              </w:rPr>
            </w:pPr>
            <w:r w:rsidDel="00000000" w:rsidR="00000000" w:rsidRPr="00000000">
              <w:rPr>
                <w:rFonts w:ascii="Calibri" w:cs="Calibri" w:eastAsia="Calibri" w:hAnsi="Calibri"/>
                <w:color w:val="000000"/>
                <w:rtl w:val="0"/>
              </w:rPr>
              <w:t xml:space="preserve">0 - Nivel general</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98">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87,2</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99">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88,6</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9A">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86,5</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9B">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90,4</w:t>
            </w:r>
          </w:p>
        </w:tc>
        <w:tc>
          <w:tcPr>
            <w:tcBorders>
              <w:top w:color="000000" w:space="0" w:sz="0" w:val="nil"/>
              <w:left w:color="000000" w:space="0" w:sz="0" w:val="nil"/>
              <w:bottom w:color="000000" w:space="0" w:sz="4" w:val="single"/>
              <w:right w:color="000000" w:space="0" w:sz="8" w:val="single"/>
            </w:tcBorders>
            <w:vAlign w:val="bottom"/>
          </w:tcPr>
          <w:p w:rsidR="00000000" w:rsidDel="00000000" w:rsidP="00000000" w:rsidRDefault="00000000" w:rsidRPr="00000000" w14:paraId="0000009C">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94,9</w:t>
            </w:r>
          </w:p>
        </w:tc>
      </w:tr>
      <w:tr>
        <w:trPr>
          <w:trHeight w:val="320" w:hRule="atLeast"/>
        </w:trPr>
        <w:tc>
          <w:tcPr>
            <w:tcBorders>
              <w:top w:color="000000" w:space="0" w:sz="0" w:val="nil"/>
              <w:left w:color="000000" w:space="0" w:sz="8" w:val="single"/>
              <w:bottom w:color="000000" w:space="0" w:sz="8" w:val="single"/>
              <w:right w:color="000000" w:space="0" w:sz="8" w:val="single"/>
            </w:tcBorders>
            <w:vAlign w:val="bottom"/>
          </w:tcPr>
          <w:p w:rsidR="00000000" w:rsidDel="00000000" w:rsidP="00000000" w:rsidRDefault="00000000" w:rsidRPr="00000000" w14:paraId="0000009D">
            <w:pPr>
              <w:rPr>
                <w:rFonts w:ascii="Calibri" w:cs="Calibri" w:eastAsia="Calibri" w:hAnsi="Calibri"/>
                <w:color w:val="000000"/>
              </w:rPr>
            </w:pPr>
            <w:r w:rsidDel="00000000" w:rsidR="00000000" w:rsidRPr="00000000">
              <w:rPr>
                <w:rFonts w:ascii="Calibri" w:cs="Calibri" w:eastAsia="Calibri" w:hAnsi="Calibri"/>
                <w:color w:val="000000"/>
                <w:rtl w:val="0"/>
              </w:rPr>
              <w:t xml:space="preserve">1- Alimentos y bebidas</w:t>
            </w:r>
          </w:p>
        </w:tc>
        <w:tc>
          <w:tcPr>
            <w:tcBorders>
              <w:top w:color="000000" w:space="0" w:sz="0" w:val="nil"/>
              <w:left w:color="000000" w:space="0" w:sz="0" w:val="nil"/>
              <w:bottom w:color="000000" w:space="0" w:sz="8" w:val="single"/>
              <w:right w:color="000000" w:space="0" w:sz="4" w:val="single"/>
            </w:tcBorders>
            <w:vAlign w:val="bottom"/>
          </w:tcPr>
          <w:p w:rsidR="00000000" w:rsidDel="00000000" w:rsidP="00000000" w:rsidRDefault="00000000" w:rsidRPr="00000000" w14:paraId="0000009E">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89,3</w:t>
            </w:r>
          </w:p>
        </w:tc>
        <w:tc>
          <w:tcPr>
            <w:tcBorders>
              <w:top w:color="000000" w:space="0" w:sz="0" w:val="nil"/>
              <w:left w:color="000000" w:space="0" w:sz="0" w:val="nil"/>
              <w:bottom w:color="000000" w:space="0" w:sz="8" w:val="single"/>
              <w:right w:color="000000" w:space="0" w:sz="4" w:val="single"/>
            </w:tcBorders>
            <w:vAlign w:val="bottom"/>
          </w:tcPr>
          <w:p w:rsidR="00000000" w:rsidDel="00000000" w:rsidP="00000000" w:rsidRDefault="00000000" w:rsidRPr="00000000" w14:paraId="0000009F">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89,9</w:t>
            </w:r>
          </w:p>
        </w:tc>
        <w:tc>
          <w:tcPr>
            <w:tcBorders>
              <w:top w:color="000000" w:space="0" w:sz="0" w:val="nil"/>
              <w:left w:color="000000" w:space="0" w:sz="0" w:val="nil"/>
              <w:bottom w:color="000000" w:space="0" w:sz="8" w:val="single"/>
              <w:right w:color="000000" w:space="0" w:sz="4" w:val="single"/>
            </w:tcBorders>
            <w:vAlign w:val="bottom"/>
          </w:tcPr>
          <w:p w:rsidR="00000000" w:rsidDel="00000000" w:rsidP="00000000" w:rsidRDefault="00000000" w:rsidRPr="00000000" w14:paraId="000000A0">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88</w:t>
            </w:r>
          </w:p>
        </w:tc>
        <w:tc>
          <w:tcPr>
            <w:tcBorders>
              <w:top w:color="000000" w:space="0" w:sz="0" w:val="nil"/>
              <w:left w:color="000000" w:space="0" w:sz="0" w:val="nil"/>
              <w:bottom w:color="000000" w:space="0" w:sz="8" w:val="single"/>
              <w:right w:color="000000" w:space="0" w:sz="4" w:val="single"/>
            </w:tcBorders>
            <w:vAlign w:val="bottom"/>
          </w:tcPr>
          <w:p w:rsidR="00000000" w:rsidDel="00000000" w:rsidP="00000000" w:rsidRDefault="00000000" w:rsidRPr="00000000" w14:paraId="000000A1">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94,4</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0A2">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103,5</w:t>
            </w:r>
          </w:p>
        </w:tc>
      </w:tr>
    </w:tbl>
    <w:p w:rsidR="00000000" w:rsidDel="00000000" w:rsidP="00000000" w:rsidRDefault="00000000" w:rsidRPr="00000000" w14:paraId="000000A3">
      <w:pPr>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A4">
      <w:pPr>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A5">
      <w:pPr>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A6">
      <w:pPr>
        <w:rPr>
          <w:rFonts w:ascii="Calibri" w:cs="Calibri" w:eastAsia="Calibri" w:hAnsi="Calibri"/>
          <w:sz w:val="22"/>
          <w:szCs w:val="22"/>
        </w:rPr>
      </w:pPr>
      <w:r w:rsidDel="00000000" w:rsidR="00000000" w:rsidRPr="00000000">
        <w:rPr>
          <w:rtl w:val="0"/>
        </w:rPr>
      </w:r>
    </w:p>
    <w:sectPr>
      <w:footerReference r:id="rId10" w:type="default"/>
      <w:footerReference r:id="rId11" w:type="even"/>
      <w:pgSz w:h="16838" w:w="11906"/>
      <w:pgMar w:bottom="1134" w:top="851" w:left="1134" w:right="1134" w:header="1701" w:footer="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Ver anexo metodológico</w:t>
      </w:r>
    </w:p>
  </w:footnote>
  <w:footnote w:id="1">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Canastas de Consumo de la Ciudad de Buenos Aires. Informe de resultados 489, DGEC, enero 2012</w:t>
      </w:r>
      <w:r w:rsidDel="00000000" w:rsidR="00000000" w:rsidRPr="00000000">
        <w:rPr>
          <w:rtl w:val="0"/>
        </w:rPr>
      </w:r>
    </w:p>
  </w:footnote>
  <w:footnote w:id="2">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Ver Metodología de transición para la ampliación de las mediciones de Pobreza e Indigencia a las regiones estadísticas en “Incidencia de la Pobreza y de la Indigencia”, informe de prensa, INDEC, 2do semestre de 2006.</w:t>
      </w:r>
      <w:r w:rsidDel="00000000" w:rsidR="00000000" w:rsidRPr="00000000">
        <w:rPr>
          <w:rtl w:val="0"/>
        </w:rPr>
      </w:r>
    </w:p>
  </w:footnote>
  <w:footnote w:id="3">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Ver informe metodológico “Paridades de poder de compra del consumidor”. Dirección de Índices de Precios de Consumo, INDEC, febrero 2002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0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C7C88"/>
    <w:pPr>
      <w:spacing w:after="0" w:line="240" w:lineRule="auto"/>
    </w:pPr>
    <w:rPr>
      <w:rFonts w:ascii="Arial" w:hAnsi="Arial"/>
      <w:sz w:val="24"/>
      <w:szCs w:val="24"/>
      <w:lang w:eastAsia="es-ES" w:val="es-AR"/>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iedepgina">
    <w:name w:val="footer"/>
    <w:basedOn w:val="Normal"/>
    <w:link w:val="PiedepginaCar"/>
    <w:uiPriority w:val="99"/>
    <w:rsid w:val="00A1420D"/>
    <w:pPr>
      <w:tabs>
        <w:tab w:val="center" w:pos="4252"/>
        <w:tab w:val="right" w:pos="8504"/>
      </w:tabs>
    </w:pPr>
  </w:style>
  <w:style w:type="character" w:styleId="PiedepginaCar" w:customStyle="1">
    <w:name w:val="Pie de página Car"/>
    <w:basedOn w:val="Fuentedeprrafopredeter"/>
    <w:link w:val="Piedepgina"/>
    <w:uiPriority w:val="99"/>
    <w:semiHidden w:val="1"/>
    <w:rPr>
      <w:rFonts w:ascii="Arial" w:hAnsi="Arial"/>
      <w:sz w:val="24"/>
      <w:szCs w:val="24"/>
      <w:lang w:eastAsia="es-ES" w:val="es-AR"/>
    </w:rPr>
  </w:style>
  <w:style w:type="character" w:styleId="Nmerodepgina">
    <w:name w:val="page number"/>
    <w:basedOn w:val="Fuentedeprrafopredeter"/>
    <w:uiPriority w:val="99"/>
    <w:rsid w:val="00A1420D"/>
    <w:rPr>
      <w:rFonts w:cs="Times New Roman"/>
    </w:rPr>
  </w:style>
  <w:style w:type="paragraph" w:styleId="Textonotapie">
    <w:name w:val="footnote text"/>
    <w:basedOn w:val="Normal"/>
    <w:link w:val="TextonotapieCar"/>
    <w:uiPriority w:val="99"/>
    <w:semiHidden w:val="1"/>
    <w:rsid w:val="00D979F9"/>
    <w:rPr>
      <w:rFonts w:ascii="Times New Roman" w:hAnsi="Times New Roman"/>
      <w:sz w:val="20"/>
      <w:szCs w:val="20"/>
      <w:lang w:val="es-ES"/>
    </w:rPr>
  </w:style>
  <w:style w:type="character" w:styleId="TextonotapieCar" w:customStyle="1">
    <w:name w:val="Texto nota pie Car"/>
    <w:basedOn w:val="Fuentedeprrafopredeter"/>
    <w:link w:val="Textonotapie"/>
    <w:uiPriority w:val="99"/>
    <w:semiHidden w:val="1"/>
    <w:rPr>
      <w:rFonts w:ascii="Arial" w:hAnsi="Arial"/>
      <w:sz w:val="20"/>
      <w:szCs w:val="20"/>
      <w:lang w:eastAsia="es-ES" w:val="es-AR"/>
    </w:rPr>
  </w:style>
  <w:style w:type="character" w:styleId="Refdenotaalpie">
    <w:name w:val="footnote reference"/>
    <w:basedOn w:val="Fuentedeprrafopredeter"/>
    <w:uiPriority w:val="99"/>
    <w:semiHidden w:val="1"/>
    <w:rsid w:val="00D979F9"/>
    <w:rPr>
      <w:rFonts w:cs="Times New Roman"/>
      <w:vertAlign w:val="superscript"/>
    </w:rPr>
  </w:style>
  <w:style w:type="table" w:styleId="Tablaconcuadrcula">
    <w:name w:val="Table Grid"/>
    <w:basedOn w:val="Tablanormal"/>
    <w:uiPriority w:val="99"/>
    <w:rsid w:val="0058559F"/>
    <w:pPr>
      <w:spacing w:after="0" w:line="240" w:lineRule="auto"/>
    </w:pPr>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5" w:customStyle="1">
    <w:name w:val="Pa5"/>
    <w:basedOn w:val="Normal"/>
    <w:next w:val="Normal"/>
    <w:uiPriority w:val="99"/>
    <w:rsid w:val="006C2B09"/>
    <w:pPr>
      <w:autoSpaceDE w:val="0"/>
      <w:autoSpaceDN w:val="0"/>
      <w:adjustRightInd w:val="0"/>
      <w:spacing w:line="201" w:lineRule="atLeast"/>
    </w:pPr>
    <w:rPr>
      <w:rFonts w:ascii="Zurich Win95BT" w:hAnsi="Zurich Win95BT"/>
      <w:lang w:val="es-ES"/>
    </w:rPr>
  </w:style>
  <w:style w:type="paragraph" w:styleId="Pa9" w:customStyle="1">
    <w:name w:val="Pa9"/>
    <w:basedOn w:val="Normal"/>
    <w:next w:val="Normal"/>
    <w:uiPriority w:val="99"/>
    <w:rsid w:val="006C2B09"/>
    <w:pPr>
      <w:autoSpaceDE w:val="0"/>
      <w:autoSpaceDN w:val="0"/>
      <w:adjustRightInd w:val="0"/>
      <w:spacing w:line="161" w:lineRule="atLeast"/>
    </w:pPr>
    <w:rPr>
      <w:rFonts w:ascii="Zurich Win95BT" w:hAnsi="Zurich Win95BT"/>
      <w:lang w:val="es-ES"/>
    </w:rPr>
  </w:style>
  <w:style w:type="paragraph" w:styleId="Pa7" w:customStyle="1">
    <w:name w:val="Pa7"/>
    <w:basedOn w:val="Normal"/>
    <w:next w:val="Normal"/>
    <w:uiPriority w:val="99"/>
    <w:rsid w:val="006C2B09"/>
    <w:pPr>
      <w:autoSpaceDE w:val="0"/>
      <w:autoSpaceDN w:val="0"/>
      <w:adjustRightInd w:val="0"/>
      <w:spacing w:line="141" w:lineRule="atLeast"/>
    </w:pPr>
    <w:rPr>
      <w:rFonts w:ascii="Zurich Win95BT" w:hAnsi="Zurich Win95BT"/>
      <w:lang w:val="es-ES"/>
    </w:rPr>
  </w:style>
  <w:style w:type="paragraph" w:styleId="Encabezado">
    <w:name w:val="header"/>
    <w:basedOn w:val="Normal"/>
    <w:link w:val="EncabezadoCar"/>
    <w:uiPriority w:val="99"/>
    <w:rsid w:val="00BC6500"/>
    <w:pPr>
      <w:tabs>
        <w:tab w:val="center" w:pos="4252"/>
        <w:tab w:val="right" w:pos="8504"/>
      </w:tabs>
    </w:pPr>
    <w:rPr>
      <w:rFonts w:ascii="Times New Roman" w:hAnsi="Times New Roman"/>
      <w:lang w:val="es-ES"/>
    </w:rPr>
  </w:style>
  <w:style w:type="paragraph" w:styleId="Textodeglobo">
    <w:name w:val="Balloon Text"/>
    <w:basedOn w:val="Normal"/>
    <w:link w:val="TextodegloboCar"/>
    <w:uiPriority w:val="99"/>
    <w:rsid w:val="00730959"/>
    <w:rPr>
      <w:rFonts w:ascii="Segoe UI" w:hAnsi="Segoe UI"/>
      <w:sz w:val="18"/>
      <w:szCs w:val="18"/>
    </w:rPr>
  </w:style>
  <w:style w:type="paragraph" w:styleId="NormalWeb">
    <w:name w:val="Normal (Web)"/>
    <w:basedOn w:val="Normal"/>
    <w:uiPriority w:val="99"/>
    <w:rsid w:val="007A228D"/>
    <w:pPr>
      <w:spacing w:after="100" w:afterAutospacing="1" w:before="100" w:beforeAutospacing="1"/>
    </w:pPr>
    <w:rPr>
      <w:rFonts w:ascii="Times New Roman" w:hAnsi="Times New Roman"/>
      <w:lang w:val="es-ES"/>
    </w:rPr>
  </w:style>
  <w:style w:type="character" w:styleId="TextodegloboCar" w:customStyle="1">
    <w:name w:val="Texto de globo Car"/>
    <w:link w:val="Textodeglobo"/>
    <w:uiPriority w:val="99"/>
    <w:locked w:val="1"/>
    <w:rsid w:val="00730959"/>
    <w:rPr>
      <w:rFonts w:ascii="Segoe UI" w:hAnsi="Segoe UI"/>
      <w:sz w:val="18"/>
      <w:lang w:eastAsia="es-ES" w:val="fr-FR"/>
    </w:rPr>
  </w:style>
  <w:style w:type="character" w:styleId="Hipervnculo">
    <w:name w:val="Hyperlink"/>
    <w:basedOn w:val="Fuentedeprrafopredeter"/>
    <w:uiPriority w:val="99"/>
    <w:rsid w:val="00C612F2"/>
    <w:rPr>
      <w:rFonts w:cs="Times New Roman"/>
      <w:color w:val="0563c1"/>
      <w:u w:val="single"/>
    </w:rPr>
  </w:style>
  <w:style w:type="character" w:styleId="Refdecomentario">
    <w:name w:val="annotation reference"/>
    <w:basedOn w:val="Fuentedeprrafopredeter"/>
    <w:uiPriority w:val="99"/>
    <w:rsid w:val="00630A3E"/>
    <w:rPr>
      <w:rFonts w:cs="Times New Roman"/>
      <w:sz w:val="16"/>
    </w:rPr>
  </w:style>
  <w:style w:type="paragraph" w:styleId="Textocomentario">
    <w:name w:val="annotation text"/>
    <w:basedOn w:val="Normal"/>
    <w:link w:val="TextocomentarioCar"/>
    <w:uiPriority w:val="99"/>
    <w:rsid w:val="00630A3E"/>
    <w:rPr>
      <w:sz w:val="20"/>
      <w:szCs w:val="20"/>
    </w:rPr>
  </w:style>
  <w:style w:type="paragraph" w:styleId="Asuntodelcomentario">
    <w:name w:val="annotation subject"/>
    <w:basedOn w:val="Textocomentario"/>
    <w:next w:val="Textocomentario"/>
    <w:link w:val="AsuntodelcomentarioCar"/>
    <w:uiPriority w:val="99"/>
    <w:rsid w:val="00630A3E"/>
    <w:rPr>
      <w:b w:val="1"/>
      <w:bCs w:val="1"/>
    </w:rPr>
  </w:style>
  <w:style w:type="character" w:styleId="TextocomentarioCar" w:customStyle="1">
    <w:name w:val="Texto comentario Car"/>
    <w:link w:val="Textocomentario"/>
    <w:uiPriority w:val="99"/>
    <w:locked w:val="1"/>
    <w:rsid w:val="00630A3E"/>
    <w:rPr>
      <w:rFonts w:ascii="Arial" w:hAnsi="Arial"/>
      <w:lang w:eastAsia="es-ES" w:val="fr-FR"/>
    </w:rPr>
  </w:style>
  <w:style w:type="character" w:styleId="EncabezadoCar" w:customStyle="1">
    <w:name w:val="Encabezado Car"/>
    <w:link w:val="Encabezado"/>
    <w:uiPriority w:val="99"/>
    <w:locked w:val="1"/>
    <w:rsid w:val="008215D2"/>
    <w:rPr>
      <w:sz w:val="24"/>
      <w:lang w:eastAsia="es-ES" w:val="es-ES"/>
    </w:rPr>
  </w:style>
  <w:style w:type="character" w:styleId="AsuntodelcomentarioCar" w:customStyle="1">
    <w:name w:val="Asunto del comentario Car"/>
    <w:link w:val="Asuntodelcomentario"/>
    <w:uiPriority w:val="99"/>
    <w:locked w:val="1"/>
    <w:rsid w:val="00630A3E"/>
    <w:rPr>
      <w:rFonts w:ascii="Arial" w:hAnsi="Arial"/>
      <w:b w:val="1"/>
      <w:lang w:eastAsia="es-ES" w:val="fr-F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2" Type="http://schemas.openxmlformats.org/officeDocument/2006/relationships/oleObject" Target="embeddings/oleObject1.bin"/><Relationship Id="rId10" Type="http://schemas.openxmlformats.org/officeDocument/2006/relationships/footer" Target="footer1.xml"/><Relationship Id="rId5" Type="http://schemas.openxmlformats.org/officeDocument/2006/relationships/fontTable" Target="fontTable.xml"/><Relationship Id="rId8" Type="http://schemas.openxmlformats.org/officeDocument/2006/relationships/styles" Target="styles.xml"/><Relationship Id="rId4" Type="http://schemas.openxmlformats.org/officeDocument/2006/relationships/settings" Target="settings.xml"/><Relationship Id="rId9" Type="http://schemas.openxmlformats.org/officeDocument/2006/relationships/image" Target="media/image2.png"/><Relationship Id="rId3" Type="http://schemas.openxmlformats.org/officeDocument/2006/relationships/theme" Target="theme/theme1.xml"/><Relationship Id="rId6" Type="http://schemas.openxmlformats.org/officeDocument/2006/relationships/footnotes" Target="footnotes.xml"/><Relationship Id="rId11" Type="http://schemas.openxmlformats.org/officeDocument/2006/relationships/footer" Target="footer2.xml"/><Relationship Id="rId1" Type="http://schemas.openxmlformats.org/officeDocument/2006/relationships/image" Target="media/image1.wmf"/><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2019-07-12T19:52:00Z</dcterms:created>
  <dc:creator>PC</dc:creator>
</cp:coreProperties>
</file>